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Arial Narrow" w:hAnsi="Arial Narrow" w:eastAsia="仿宋_GB2312" w:cs="宋体"/>
          <w:sz w:val="30"/>
          <w:szCs w:val="30"/>
        </w:rPr>
      </w:pPr>
      <w:r>
        <w:rPr>
          <w:rFonts w:hint="eastAsia" w:ascii="Arial Narrow" w:hAnsi="Arial Narrow" w:eastAsia="仿宋_GB2312" w:cs="宋体"/>
          <w:sz w:val="30"/>
          <w:szCs w:val="30"/>
        </w:rPr>
        <w:t>附件</w:t>
      </w:r>
      <w:r>
        <w:rPr>
          <w:rFonts w:ascii="Arial Narrow" w:hAnsi="Arial Narrow" w:eastAsia="仿宋_GB2312" w:cs="宋体"/>
          <w:sz w:val="30"/>
          <w:szCs w:val="30"/>
        </w:rPr>
        <w:t>：</w:t>
      </w:r>
    </w:p>
    <w:p>
      <w:pPr>
        <w:snapToGrid w:val="0"/>
        <w:spacing w:line="540" w:lineRule="exact"/>
        <w:jc w:val="center"/>
        <w:rPr>
          <w:rFonts w:ascii="Arial Narrow" w:hAnsi="Arial Narrow" w:eastAsia="黑体"/>
          <w:b/>
          <w:sz w:val="36"/>
          <w:szCs w:val="36"/>
        </w:rPr>
      </w:pPr>
      <w:r>
        <w:rPr>
          <w:rFonts w:hint="eastAsia" w:ascii="Arial Narrow" w:hAnsi="黑体" w:eastAsia="黑体"/>
          <w:b/>
          <w:sz w:val="36"/>
          <w:szCs w:val="36"/>
        </w:rPr>
        <w:t>2018年</w:t>
      </w:r>
      <w:r>
        <w:rPr>
          <w:rFonts w:ascii="Arial Narrow" w:hAnsi="黑体" w:eastAsia="黑体"/>
          <w:b/>
          <w:sz w:val="36"/>
          <w:szCs w:val="36"/>
        </w:rPr>
        <w:t>全国职业院校技能大赛</w:t>
      </w:r>
    </w:p>
    <w:p>
      <w:pPr>
        <w:snapToGrid w:val="0"/>
        <w:spacing w:line="540" w:lineRule="exact"/>
        <w:jc w:val="center"/>
        <w:rPr>
          <w:rFonts w:ascii="Arial Narrow" w:hAnsi="Arial Narrow" w:eastAsia="黑体"/>
          <w:b/>
          <w:sz w:val="36"/>
          <w:szCs w:val="36"/>
        </w:rPr>
      </w:pPr>
      <w:r>
        <w:rPr>
          <w:rFonts w:ascii="Arial Narrow" w:hAnsi="黑体" w:eastAsia="黑体"/>
          <w:b/>
          <w:sz w:val="36"/>
          <w:szCs w:val="36"/>
        </w:rPr>
        <w:t>赛项申报书</w:t>
      </w:r>
    </w:p>
    <w:p>
      <w:pPr>
        <w:snapToGrid w:val="0"/>
        <w:spacing w:line="560" w:lineRule="exact"/>
        <w:rPr>
          <w:rFonts w:ascii="Arial Narrow" w:hAnsi="Arial Narrow" w:eastAsia="仿宋_GB2312"/>
          <w:sz w:val="30"/>
          <w:szCs w:val="30"/>
        </w:rPr>
      </w:pPr>
    </w:p>
    <w:p>
      <w:pPr>
        <w:snapToGrid w:val="0"/>
        <w:spacing w:line="560" w:lineRule="exact"/>
        <w:ind w:firstLine="600" w:firstLineChars="200"/>
        <w:rPr>
          <w:rFonts w:ascii="仿宋_GB2312" w:hAnsi="Arial Narrow" w:eastAsia="仿宋_GB2312"/>
          <w:sz w:val="30"/>
          <w:szCs w:val="30"/>
        </w:rPr>
      </w:pPr>
      <w:r>
        <w:rPr>
          <w:rFonts w:ascii="仿宋_GB2312" w:hAnsi="Arial Narrow" w:eastAsia="仿宋_GB2312"/>
          <w:sz w:val="30"/>
          <w:szCs w:val="30"/>
        </w:rPr>
        <w:t>赛项名称：</w:t>
      </w:r>
    </w:p>
    <w:p>
      <w:pPr>
        <w:snapToGrid w:val="0"/>
        <w:spacing w:line="560" w:lineRule="exact"/>
        <w:ind w:firstLine="600" w:firstLineChars="200"/>
        <w:rPr>
          <w:rFonts w:ascii="仿宋_GB2312" w:hAnsi="Arial Narrow" w:eastAsia="仿宋_GB2312"/>
          <w:sz w:val="30"/>
          <w:szCs w:val="30"/>
        </w:rPr>
      </w:pPr>
      <w:r>
        <w:rPr>
          <w:rFonts w:hint="eastAsia" w:ascii="仿宋_GB2312" w:hAnsi="Arial Narrow" w:eastAsia="仿宋_GB2312"/>
          <w:sz w:val="30"/>
          <w:szCs w:val="30"/>
        </w:rPr>
        <w:t>赛项类别：常规赛项□     行业特色赛项□</w:t>
      </w:r>
    </w:p>
    <w:p>
      <w:pPr>
        <w:snapToGrid w:val="0"/>
        <w:spacing w:line="560" w:lineRule="exact"/>
        <w:ind w:firstLine="600" w:firstLineChars="200"/>
        <w:rPr>
          <w:rFonts w:ascii="仿宋_GB2312" w:hAnsi="Arial Narrow" w:eastAsia="仿宋_GB2312"/>
          <w:sz w:val="30"/>
          <w:szCs w:val="30"/>
        </w:rPr>
      </w:pPr>
      <w:r>
        <w:rPr>
          <w:rFonts w:ascii="仿宋_GB2312" w:hAnsi="Arial Narrow" w:eastAsia="仿宋_GB2312"/>
          <w:sz w:val="30"/>
          <w:szCs w:val="30"/>
        </w:rPr>
        <w:t>赛项组别：中职组</w:t>
      </w:r>
      <w:r>
        <w:rPr>
          <w:rFonts w:hint="eastAsia" w:ascii="仿宋_GB2312" w:hAnsi="Arial Narrow" w:eastAsia="仿宋_GB2312"/>
          <w:sz w:val="30"/>
          <w:szCs w:val="30"/>
        </w:rPr>
        <w:t xml:space="preserve">□       </w:t>
      </w:r>
      <w:r>
        <w:rPr>
          <w:rFonts w:ascii="仿宋_GB2312" w:hAnsi="Arial Narrow" w:eastAsia="仿宋_GB2312"/>
          <w:sz w:val="30"/>
          <w:szCs w:val="30"/>
        </w:rPr>
        <w:t>高职组</w:t>
      </w:r>
      <w:r>
        <w:rPr>
          <w:rFonts w:hint="eastAsia" w:ascii="仿宋_GB2312" w:hAnsi="Arial Narrow" w:eastAsia="仿宋_GB2312"/>
          <w:sz w:val="30"/>
          <w:szCs w:val="30"/>
        </w:rPr>
        <w:t>□</w:t>
      </w:r>
    </w:p>
    <w:p>
      <w:pPr>
        <w:snapToGrid w:val="0"/>
        <w:spacing w:line="560" w:lineRule="exact"/>
        <w:ind w:firstLine="600" w:firstLineChars="200"/>
        <w:rPr>
          <w:rFonts w:ascii="仿宋_GB2312" w:hAnsi="Arial Narrow" w:eastAsia="仿宋_GB2312"/>
          <w:sz w:val="30"/>
          <w:szCs w:val="30"/>
        </w:rPr>
      </w:pPr>
      <w:r>
        <w:rPr>
          <w:rFonts w:hint="eastAsia" w:ascii="仿宋_GB2312" w:hAnsi="Arial Narrow" w:eastAsia="仿宋_GB2312"/>
          <w:sz w:val="30"/>
          <w:szCs w:val="30"/>
        </w:rPr>
        <w:t>涉及的专业大类/类</w:t>
      </w:r>
      <w:r>
        <w:rPr>
          <w:rFonts w:ascii="仿宋_GB2312" w:hAnsi="Arial Narrow" w:eastAsia="仿宋_GB2312"/>
          <w:sz w:val="30"/>
          <w:szCs w:val="30"/>
        </w:rPr>
        <w:t>：</w:t>
      </w:r>
    </w:p>
    <w:p>
      <w:pPr>
        <w:snapToGrid w:val="0"/>
        <w:spacing w:line="560" w:lineRule="exact"/>
        <w:ind w:firstLine="600" w:firstLineChars="200"/>
        <w:rPr>
          <w:rFonts w:ascii="仿宋_GB2312" w:hAnsi="Arial Narrow" w:eastAsia="仿宋_GB2312"/>
          <w:sz w:val="30"/>
          <w:szCs w:val="30"/>
        </w:rPr>
      </w:pPr>
      <w:r>
        <w:rPr>
          <w:rFonts w:hint="eastAsia" w:ascii="仿宋_GB2312" w:hAnsi="Arial Narrow" w:eastAsia="仿宋_GB2312"/>
          <w:sz w:val="30"/>
          <w:szCs w:val="30"/>
        </w:rPr>
        <w:t>方案设计专家组组长：</w:t>
      </w:r>
    </w:p>
    <w:p>
      <w:pPr>
        <w:snapToGrid w:val="0"/>
        <w:spacing w:line="560" w:lineRule="exact"/>
        <w:ind w:firstLine="600" w:firstLineChars="200"/>
        <w:rPr>
          <w:rFonts w:ascii="仿宋_GB2312" w:hAnsi="Arial Narrow" w:eastAsia="仿宋_GB2312"/>
          <w:sz w:val="30"/>
          <w:szCs w:val="30"/>
        </w:rPr>
      </w:pPr>
      <w:r>
        <w:rPr>
          <w:rFonts w:hint="eastAsia" w:ascii="仿宋_GB2312" w:hAnsi="Arial Narrow" w:eastAsia="仿宋_GB2312"/>
          <w:sz w:val="30"/>
          <w:szCs w:val="30"/>
        </w:rPr>
        <w:t>手机号码：</w:t>
      </w:r>
    </w:p>
    <w:p>
      <w:pPr>
        <w:snapToGrid w:val="0"/>
        <w:spacing w:line="560" w:lineRule="exact"/>
        <w:ind w:firstLine="600" w:firstLineChars="200"/>
        <w:rPr>
          <w:rFonts w:ascii="仿宋_GB2312" w:hAnsi="Arial Narrow" w:eastAsia="仿宋_GB2312"/>
          <w:sz w:val="30"/>
          <w:szCs w:val="30"/>
        </w:rPr>
      </w:pPr>
      <w:r>
        <w:rPr>
          <w:rFonts w:hint="eastAsia" w:ascii="仿宋_GB2312" w:hAnsi="Arial Narrow" w:eastAsia="仿宋_GB2312"/>
          <w:sz w:val="30"/>
          <w:szCs w:val="30"/>
        </w:rPr>
        <w:t>方案</w:t>
      </w:r>
      <w:r>
        <w:rPr>
          <w:rFonts w:ascii="仿宋_GB2312" w:hAnsi="Arial Narrow" w:eastAsia="仿宋_GB2312"/>
          <w:sz w:val="30"/>
          <w:szCs w:val="30"/>
        </w:rPr>
        <w:t>申报单位（盖章）：</w:t>
      </w:r>
    </w:p>
    <w:p>
      <w:pPr>
        <w:snapToGrid w:val="0"/>
        <w:spacing w:line="560" w:lineRule="exact"/>
        <w:ind w:firstLine="600" w:firstLineChars="200"/>
        <w:rPr>
          <w:rFonts w:ascii="仿宋_GB2312" w:hAnsi="Arial Narrow" w:eastAsia="仿宋_GB2312"/>
          <w:sz w:val="30"/>
          <w:szCs w:val="30"/>
        </w:rPr>
      </w:pPr>
      <w:r>
        <w:rPr>
          <w:rFonts w:ascii="仿宋_GB2312" w:hAnsi="Arial Narrow" w:eastAsia="仿宋_GB2312"/>
          <w:sz w:val="30"/>
          <w:szCs w:val="30"/>
        </w:rPr>
        <w:t>方案申报负责人：</w:t>
      </w:r>
    </w:p>
    <w:p>
      <w:pPr>
        <w:snapToGrid w:val="0"/>
        <w:spacing w:line="560" w:lineRule="exact"/>
        <w:ind w:firstLine="600" w:firstLineChars="200"/>
        <w:rPr>
          <w:rFonts w:ascii="仿宋_GB2312" w:hAnsi="Arial Narrow" w:eastAsia="仿宋_GB2312"/>
          <w:sz w:val="30"/>
          <w:szCs w:val="30"/>
        </w:rPr>
      </w:pPr>
      <w:r>
        <w:rPr>
          <w:rFonts w:hint="eastAsia" w:ascii="仿宋_GB2312" w:hAnsi="Arial Narrow" w:eastAsia="仿宋_GB2312"/>
          <w:sz w:val="30"/>
          <w:szCs w:val="30"/>
        </w:rPr>
        <w:t>方案申报单位联络人：</w:t>
      </w:r>
    </w:p>
    <w:p>
      <w:pPr>
        <w:snapToGrid w:val="0"/>
        <w:spacing w:line="560" w:lineRule="exact"/>
        <w:ind w:firstLine="600" w:firstLineChars="200"/>
        <w:rPr>
          <w:rFonts w:ascii="仿宋_GB2312" w:hAnsi="Arial Narrow" w:eastAsia="仿宋_GB2312"/>
          <w:sz w:val="30"/>
          <w:szCs w:val="30"/>
        </w:rPr>
      </w:pPr>
      <w:r>
        <w:rPr>
          <w:rFonts w:hint="eastAsia" w:ascii="仿宋_GB2312" w:hAnsi="Arial Narrow" w:eastAsia="仿宋_GB2312"/>
          <w:sz w:val="30"/>
          <w:szCs w:val="30"/>
        </w:rPr>
        <w:t>联络人手机号码</w:t>
      </w:r>
      <w:r>
        <w:rPr>
          <w:rFonts w:ascii="仿宋_GB2312" w:hAnsi="Arial Narrow" w:eastAsia="仿宋_GB2312"/>
          <w:sz w:val="30"/>
          <w:szCs w:val="30"/>
        </w:rPr>
        <w:t>：</w:t>
      </w:r>
    </w:p>
    <w:p>
      <w:pPr>
        <w:snapToGrid w:val="0"/>
        <w:spacing w:line="560" w:lineRule="exact"/>
        <w:ind w:firstLine="600" w:firstLineChars="200"/>
        <w:rPr>
          <w:rFonts w:ascii="仿宋_GB2312" w:hAnsi="Arial Narrow" w:eastAsia="仿宋_GB2312"/>
          <w:sz w:val="30"/>
          <w:szCs w:val="30"/>
        </w:rPr>
      </w:pPr>
      <w:r>
        <w:rPr>
          <w:rFonts w:hint="eastAsia" w:ascii="仿宋_GB2312" w:hAnsi="Arial Narrow" w:eastAsia="仿宋_GB2312"/>
          <w:sz w:val="30"/>
          <w:szCs w:val="30"/>
        </w:rPr>
        <w:t>电子邮箱</w:t>
      </w:r>
      <w:r>
        <w:rPr>
          <w:rFonts w:ascii="仿宋_GB2312" w:hAnsi="Arial Narrow" w:eastAsia="仿宋_GB2312"/>
          <w:sz w:val="30"/>
          <w:szCs w:val="30"/>
        </w:rPr>
        <w:t>：</w:t>
      </w:r>
    </w:p>
    <w:p>
      <w:pPr>
        <w:snapToGrid w:val="0"/>
        <w:spacing w:line="560" w:lineRule="exact"/>
        <w:ind w:firstLine="600" w:firstLineChars="200"/>
        <w:rPr>
          <w:rFonts w:ascii="仿宋_GB2312" w:hAnsi="Arial Narrow" w:eastAsia="仿宋_GB2312"/>
          <w:sz w:val="30"/>
          <w:szCs w:val="30"/>
        </w:rPr>
      </w:pPr>
      <w:r>
        <w:rPr>
          <w:rFonts w:ascii="仿宋_GB2312" w:hAnsi="Arial Narrow" w:eastAsia="仿宋_GB2312"/>
          <w:sz w:val="30"/>
          <w:szCs w:val="30"/>
        </w:rPr>
        <w:t>通讯地址：</w:t>
      </w:r>
    </w:p>
    <w:p>
      <w:pPr>
        <w:snapToGrid w:val="0"/>
        <w:spacing w:line="560" w:lineRule="exact"/>
        <w:ind w:firstLine="600" w:firstLineChars="200"/>
        <w:rPr>
          <w:rFonts w:ascii="仿宋_GB2312" w:hAnsi="Arial Narrow" w:eastAsia="仿宋_GB2312"/>
          <w:sz w:val="30"/>
          <w:szCs w:val="30"/>
        </w:rPr>
      </w:pPr>
      <w:r>
        <w:rPr>
          <w:rFonts w:ascii="仿宋_GB2312" w:hAnsi="Arial Narrow" w:eastAsia="仿宋_GB2312"/>
          <w:sz w:val="30"/>
          <w:szCs w:val="30"/>
        </w:rPr>
        <w:t>邮政编码：</w:t>
      </w:r>
    </w:p>
    <w:p>
      <w:pPr>
        <w:snapToGrid w:val="0"/>
        <w:spacing w:line="560" w:lineRule="exact"/>
        <w:ind w:firstLine="600" w:firstLineChars="200"/>
        <w:rPr>
          <w:rFonts w:ascii="仿宋_GB2312" w:hAnsi="Arial Narrow" w:eastAsia="仿宋_GB2312"/>
          <w:sz w:val="30"/>
          <w:szCs w:val="30"/>
        </w:rPr>
      </w:pPr>
      <w:r>
        <w:rPr>
          <w:rFonts w:ascii="仿宋_GB2312" w:hAnsi="Arial Narrow" w:eastAsia="仿宋_GB2312"/>
          <w:sz w:val="30"/>
          <w:szCs w:val="30"/>
        </w:rPr>
        <w:t>申报日期：</w:t>
      </w:r>
    </w:p>
    <w:p>
      <w:pPr>
        <w:snapToGrid w:val="0"/>
        <w:spacing w:line="560" w:lineRule="exact"/>
        <w:rPr>
          <w:rFonts w:ascii="Arial Narrow" w:hAnsi="Arial Narrow" w:eastAsia="仿宋_GB2312"/>
          <w:sz w:val="30"/>
          <w:szCs w:val="30"/>
        </w:rPr>
      </w:pPr>
    </w:p>
    <w:p>
      <w:pPr>
        <w:widowControl/>
        <w:jc w:val="left"/>
        <w:rPr>
          <w:rFonts w:ascii="Arial Narrow" w:hAnsi="Arial Narrow" w:eastAsia="仿宋_GB2312" w:cs="Arial"/>
          <w:sz w:val="30"/>
          <w:szCs w:val="30"/>
        </w:rPr>
        <w:sectPr>
          <w:pgSz w:w="11906" w:h="16838"/>
          <w:pgMar w:top="1440" w:right="1800" w:bottom="1440" w:left="1800" w:header="851" w:footer="992" w:gutter="0"/>
          <w:cols w:space="425" w:num="1"/>
          <w:docGrid w:type="lines" w:linePitch="312" w:charSpace="0"/>
        </w:sectPr>
      </w:pPr>
    </w:p>
    <w:p>
      <w:pPr>
        <w:widowControl/>
        <w:jc w:val="left"/>
        <w:rPr>
          <w:rFonts w:ascii="Arial Narrow" w:hAnsi="Arial Narrow" w:eastAsia="仿宋_GB2312" w:cs="Arial"/>
          <w:sz w:val="30"/>
          <w:szCs w:val="30"/>
        </w:rPr>
      </w:pPr>
      <w:r>
        <w:rPr>
          <w:rFonts w:ascii="Arial Narrow" w:hAnsi="Arial Narrow" w:eastAsia="仿宋_GB2312" w:cs="Arial"/>
          <w:sz w:val="30"/>
          <w:szCs w:val="30"/>
        </w:rPr>
        <w:t>内容要求</w:t>
      </w:r>
      <w:r>
        <w:rPr>
          <w:rStyle w:val="10"/>
          <w:rFonts w:ascii="Arial Narrow" w:hAnsi="Arial Narrow" w:eastAsia="仿宋_GB2312"/>
          <w:sz w:val="30"/>
          <w:szCs w:val="30"/>
        </w:rPr>
        <w:footnoteReference w:id="0"/>
      </w:r>
      <w:r>
        <w:rPr>
          <w:rFonts w:ascii="Arial Narrow" w:hAnsi="Arial Narrow" w:eastAsia="仿宋_GB2312" w:cs="Arial"/>
          <w:sz w:val="30"/>
          <w:szCs w:val="30"/>
        </w:rPr>
        <w:t xml:space="preserve">：    </w:t>
      </w:r>
    </w:p>
    <w:p>
      <w:pPr>
        <w:snapToGrid w:val="0"/>
        <w:spacing w:line="540" w:lineRule="exact"/>
        <w:jc w:val="center"/>
        <w:rPr>
          <w:rFonts w:ascii="Arial Narrow" w:hAnsi="Arial Narrow" w:eastAsia="黑体"/>
          <w:b/>
          <w:sz w:val="36"/>
          <w:szCs w:val="36"/>
        </w:rPr>
      </w:pPr>
      <w:r>
        <w:rPr>
          <w:rFonts w:hint="eastAsia" w:ascii="Arial Narrow" w:hAnsi="黑体" w:eastAsia="黑体"/>
          <w:b/>
          <w:sz w:val="36"/>
          <w:szCs w:val="36"/>
        </w:rPr>
        <w:t>2018年</w:t>
      </w:r>
      <w:r>
        <w:rPr>
          <w:rFonts w:ascii="Arial Narrow" w:hAnsi="黑体" w:eastAsia="黑体"/>
          <w:b/>
          <w:sz w:val="36"/>
          <w:szCs w:val="36"/>
        </w:rPr>
        <w:t>全国职业院校技能大赛</w:t>
      </w:r>
    </w:p>
    <w:p>
      <w:pPr>
        <w:snapToGrid w:val="0"/>
        <w:spacing w:line="540" w:lineRule="exact"/>
        <w:jc w:val="center"/>
        <w:rPr>
          <w:rFonts w:ascii="Arial Narrow" w:hAnsi="Arial Narrow" w:eastAsia="黑体"/>
          <w:b/>
          <w:sz w:val="36"/>
          <w:szCs w:val="36"/>
        </w:rPr>
      </w:pPr>
      <w:r>
        <w:rPr>
          <w:rFonts w:ascii="Arial Narrow" w:hAnsi="黑体" w:eastAsia="黑体"/>
          <w:b/>
          <w:sz w:val="36"/>
          <w:szCs w:val="36"/>
        </w:rPr>
        <w:t>赛项申报方案</w:t>
      </w:r>
    </w:p>
    <w:p>
      <w:pPr>
        <w:snapToGrid w:val="0"/>
        <w:spacing w:line="560" w:lineRule="exact"/>
        <w:ind w:firstLine="602" w:firstLineChars="200"/>
        <w:rPr>
          <w:rFonts w:ascii="黑体" w:hAnsi="黑体" w:eastAsia="黑体" w:cs="黑体"/>
          <w:b/>
          <w:sz w:val="30"/>
          <w:szCs w:val="30"/>
        </w:rPr>
      </w:pPr>
      <w:r>
        <w:rPr>
          <w:rFonts w:hint="eastAsia" w:ascii="黑体" w:hAnsi="黑体" w:eastAsia="黑体" w:cs="黑体"/>
          <w:b/>
          <w:sz w:val="30"/>
          <w:szCs w:val="30"/>
        </w:rPr>
        <w:t>一、赛项名称</w:t>
      </w:r>
    </w:p>
    <w:p>
      <w:pPr>
        <w:snapToGrid w:val="0"/>
        <w:spacing w:line="560" w:lineRule="exact"/>
        <w:ind w:firstLine="600" w:firstLineChars="200"/>
        <w:rPr>
          <w:rFonts w:ascii="Arial Narrow" w:hAnsi="Arial Narrow" w:eastAsia="仿宋_GB2312" w:cs="Arial"/>
          <w:sz w:val="30"/>
          <w:szCs w:val="30"/>
        </w:rPr>
      </w:pPr>
      <w:r>
        <w:rPr>
          <w:rFonts w:ascii="Arial Narrow" w:hAnsi="Arial Narrow" w:eastAsia="仿宋_GB2312" w:cs="Arial"/>
          <w:sz w:val="30"/>
          <w:szCs w:val="30"/>
        </w:rPr>
        <w:t>（一）赛项名称</w:t>
      </w:r>
    </w:p>
    <w:p>
      <w:pPr>
        <w:snapToGrid w:val="0"/>
        <w:spacing w:line="560" w:lineRule="exact"/>
        <w:ind w:firstLine="600" w:firstLineChars="200"/>
        <w:rPr>
          <w:rFonts w:ascii="Arial Narrow" w:hAnsi="Arial Narrow" w:eastAsia="仿宋_GB2312" w:cs="Arial"/>
          <w:sz w:val="30"/>
          <w:szCs w:val="30"/>
        </w:rPr>
      </w:pPr>
      <w:r>
        <w:rPr>
          <w:rFonts w:ascii="Arial Narrow" w:hAnsi="Arial Narrow" w:eastAsia="仿宋_GB2312" w:cs="Arial"/>
          <w:sz w:val="30"/>
          <w:szCs w:val="30"/>
        </w:rPr>
        <w:t>应根据比赛的内容或核心技术或技能确定赛项名称，不能以单一技能、工种名称直接命名。</w:t>
      </w:r>
    </w:p>
    <w:p>
      <w:pPr>
        <w:snapToGrid w:val="0"/>
        <w:spacing w:line="560" w:lineRule="exact"/>
        <w:ind w:firstLine="600" w:firstLineChars="200"/>
        <w:rPr>
          <w:rFonts w:ascii="Arial Narrow" w:hAnsi="Arial Narrow" w:eastAsia="仿宋_GB2312" w:cs="Arial"/>
          <w:sz w:val="30"/>
          <w:szCs w:val="30"/>
        </w:rPr>
      </w:pPr>
      <w:r>
        <w:rPr>
          <w:rFonts w:ascii="Arial Narrow" w:hAnsi="Arial Narrow" w:eastAsia="仿宋_GB2312" w:cs="Arial"/>
          <w:sz w:val="30"/>
          <w:szCs w:val="30"/>
        </w:rPr>
        <w:t>（二）压题彩照</w:t>
      </w:r>
    </w:p>
    <w:p>
      <w:pPr>
        <w:snapToGrid w:val="0"/>
        <w:spacing w:line="560" w:lineRule="exact"/>
        <w:ind w:firstLine="600" w:firstLineChars="200"/>
        <w:rPr>
          <w:rFonts w:ascii="Arial Narrow" w:hAnsi="Arial Narrow" w:eastAsia="仿宋_GB2312" w:cs="Arial"/>
          <w:sz w:val="30"/>
          <w:szCs w:val="30"/>
        </w:rPr>
      </w:pPr>
      <w:r>
        <w:rPr>
          <w:rFonts w:ascii="Arial Narrow" w:hAnsi="Arial Narrow" w:eastAsia="仿宋_GB2312" w:cs="Arial"/>
          <w:sz w:val="30"/>
          <w:szCs w:val="30"/>
        </w:rPr>
        <w:t>一张反映赛项特点的彩色照片，照片像素不少于3264×2488。</w:t>
      </w:r>
    </w:p>
    <w:p>
      <w:pPr>
        <w:snapToGrid w:val="0"/>
        <w:spacing w:line="560" w:lineRule="exact"/>
        <w:ind w:firstLine="600" w:firstLineChars="200"/>
        <w:rPr>
          <w:rFonts w:ascii="Arial Narrow" w:hAnsi="Arial Narrow" w:eastAsia="仿宋_GB2312" w:cs="Arial"/>
          <w:sz w:val="30"/>
          <w:szCs w:val="30"/>
        </w:rPr>
      </w:pPr>
      <w:r>
        <w:rPr>
          <w:rFonts w:ascii="Arial Narrow" w:hAnsi="Arial Narrow" w:eastAsia="仿宋_GB2312" w:cs="Arial"/>
          <w:sz w:val="30"/>
          <w:szCs w:val="30"/>
        </w:rPr>
        <w:t>（三）赛项归属产业类型</w:t>
      </w:r>
    </w:p>
    <w:p>
      <w:pPr>
        <w:snapToGrid w:val="0"/>
        <w:spacing w:line="560" w:lineRule="exact"/>
        <w:ind w:firstLine="600" w:firstLineChars="200"/>
        <w:rPr>
          <w:rFonts w:ascii="Arial Narrow" w:hAnsi="Arial Narrow" w:eastAsia="仿宋_GB2312" w:cs="Arial"/>
          <w:sz w:val="30"/>
          <w:szCs w:val="30"/>
        </w:rPr>
      </w:pPr>
      <w:r>
        <w:rPr>
          <w:rFonts w:ascii="Arial Narrow" w:hAnsi="Arial Narrow" w:eastAsia="仿宋_GB2312" w:cs="Arial"/>
          <w:sz w:val="30"/>
          <w:szCs w:val="30"/>
        </w:rPr>
        <w:t>（四）赛项归属专业大类</w:t>
      </w:r>
      <w:r>
        <w:rPr>
          <w:rFonts w:hint="eastAsia" w:ascii="Arial Narrow" w:hAnsi="Arial Narrow" w:eastAsia="仿宋_GB2312" w:cs="Arial"/>
          <w:sz w:val="30"/>
          <w:szCs w:val="30"/>
        </w:rPr>
        <w:t>/类</w:t>
      </w:r>
    </w:p>
    <w:p>
      <w:pPr>
        <w:spacing w:line="560" w:lineRule="exact"/>
        <w:ind w:firstLine="600"/>
        <w:rPr>
          <w:rFonts w:ascii="Arial Narrow" w:hAnsi="Arial Narrow" w:eastAsia="仿宋_GB2312" w:cs="Arial"/>
          <w:sz w:val="30"/>
          <w:szCs w:val="30"/>
        </w:rPr>
      </w:pPr>
      <w:r>
        <w:rPr>
          <w:rFonts w:hint="eastAsia" w:ascii="Arial Narrow" w:hAnsi="Arial Narrow" w:eastAsia="仿宋_GB2312" w:cs="Arial"/>
          <w:sz w:val="30"/>
          <w:szCs w:val="30"/>
        </w:rPr>
        <w:t>专业大类/类名称必须严格按照《中等职业学校专业目录（</w:t>
      </w:r>
      <w:r>
        <w:rPr>
          <w:rFonts w:hint="eastAsia" w:ascii="仿宋_GB2312" w:hAnsi="仿宋_GB2312" w:eastAsia="仿宋_GB2312" w:cs="仿宋_GB2312"/>
          <w:sz w:val="30"/>
          <w:szCs w:val="30"/>
        </w:rPr>
        <w:t>2010</w:t>
      </w:r>
      <w:r>
        <w:rPr>
          <w:rFonts w:hint="eastAsia" w:ascii="Arial Narrow" w:hAnsi="Arial Narrow" w:eastAsia="仿宋_GB2312" w:cs="Arial"/>
          <w:sz w:val="30"/>
          <w:szCs w:val="30"/>
        </w:rPr>
        <w:t>年修订）》《普通高等学校高等职业教育（专科）专业目录（</w:t>
      </w:r>
      <w:r>
        <w:rPr>
          <w:rFonts w:hint="eastAsia" w:ascii="仿宋_GB2312" w:hAnsi="仿宋_GB2312" w:eastAsia="仿宋_GB2312" w:cs="仿宋_GB2312"/>
          <w:sz w:val="30"/>
          <w:szCs w:val="30"/>
        </w:rPr>
        <w:t>2015年</w:t>
      </w:r>
      <w:r>
        <w:rPr>
          <w:rFonts w:hint="eastAsia" w:ascii="Arial Narrow" w:hAnsi="Arial Narrow" w:eastAsia="仿宋_GB2312" w:cs="Arial"/>
          <w:sz w:val="30"/>
          <w:szCs w:val="30"/>
        </w:rPr>
        <w:t>）》填写，可多选。</w:t>
      </w:r>
    </w:p>
    <w:p>
      <w:pPr>
        <w:snapToGrid w:val="0"/>
        <w:spacing w:line="560" w:lineRule="exact"/>
        <w:ind w:firstLine="602" w:firstLineChars="200"/>
        <w:rPr>
          <w:rFonts w:ascii="Arial Narrow" w:hAnsi="Arial Narrow" w:eastAsia="仿宋_GB2312" w:cs="Arial"/>
          <w:b/>
          <w:sz w:val="30"/>
          <w:szCs w:val="30"/>
        </w:rPr>
      </w:pPr>
      <w:r>
        <w:rPr>
          <w:rFonts w:hint="eastAsia" w:ascii="黑体" w:hAnsi="黑体" w:eastAsia="黑体" w:cs="黑体"/>
          <w:b/>
          <w:sz w:val="30"/>
          <w:szCs w:val="30"/>
        </w:rPr>
        <w:t>二、赛项申报专家组</w:t>
      </w:r>
    </w:p>
    <w:tbl>
      <w:tblPr>
        <w:tblStyle w:val="11"/>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115"/>
        <w:gridCol w:w="993"/>
        <w:gridCol w:w="1417"/>
        <w:gridCol w:w="851"/>
        <w:gridCol w:w="1284"/>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828" w:type="dxa"/>
            <w:vAlign w:val="center"/>
          </w:tcPr>
          <w:p>
            <w:pPr>
              <w:jc w:val="center"/>
              <w:rPr>
                <w:rFonts w:ascii="仿宋_GB2312" w:hAnsi="仿宋" w:eastAsia="仿宋_GB2312" w:cs="Arial"/>
                <w:b/>
                <w:color w:val="000000"/>
                <w:sz w:val="24"/>
                <w:szCs w:val="24"/>
              </w:rPr>
            </w:pPr>
            <w:r>
              <w:rPr>
                <w:rFonts w:ascii="仿宋_GB2312" w:hAnsi="仿宋" w:eastAsia="仿宋_GB2312" w:cs="Arial"/>
                <w:b/>
                <w:color w:val="000000"/>
                <w:sz w:val="24"/>
                <w:szCs w:val="24"/>
              </w:rPr>
              <w:t>姓名</w:t>
            </w:r>
          </w:p>
        </w:tc>
        <w:tc>
          <w:tcPr>
            <w:tcW w:w="2115" w:type="dxa"/>
            <w:vAlign w:val="center"/>
          </w:tcPr>
          <w:p>
            <w:pPr>
              <w:jc w:val="center"/>
              <w:rPr>
                <w:rFonts w:ascii="仿宋_GB2312" w:hAnsi="仿宋" w:eastAsia="仿宋_GB2312" w:cs="Arial"/>
                <w:b/>
                <w:color w:val="000000"/>
                <w:sz w:val="24"/>
                <w:szCs w:val="24"/>
              </w:rPr>
            </w:pPr>
            <w:r>
              <w:rPr>
                <w:rFonts w:ascii="仿宋_GB2312" w:hAnsi="仿宋" w:eastAsia="仿宋_GB2312" w:cs="Arial"/>
                <w:b/>
                <w:color w:val="000000"/>
                <w:sz w:val="24"/>
                <w:szCs w:val="24"/>
              </w:rPr>
              <w:t>单位</w:t>
            </w:r>
          </w:p>
        </w:tc>
        <w:tc>
          <w:tcPr>
            <w:tcW w:w="993" w:type="dxa"/>
            <w:vAlign w:val="center"/>
          </w:tcPr>
          <w:p>
            <w:pPr>
              <w:jc w:val="center"/>
              <w:rPr>
                <w:rFonts w:ascii="仿宋_GB2312" w:hAnsi="仿宋" w:eastAsia="仿宋_GB2312" w:cs="Arial"/>
                <w:b/>
                <w:color w:val="000000"/>
                <w:sz w:val="24"/>
                <w:szCs w:val="24"/>
              </w:rPr>
            </w:pPr>
            <w:r>
              <w:rPr>
                <w:rFonts w:ascii="仿宋_GB2312" w:hAnsi="仿宋" w:eastAsia="仿宋_GB2312" w:cs="Arial"/>
                <w:b/>
                <w:color w:val="000000"/>
                <w:sz w:val="24"/>
                <w:szCs w:val="24"/>
              </w:rPr>
              <w:t>专业</w:t>
            </w:r>
          </w:p>
        </w:tc>
        <w:tc>
          <w:tcPr>
            <w:tcW w:w="1417" w:type="dxa"/>
            <w:vAlign w:val="center"/>
          </w:tcPr>
          <w:p>
            <w:pPr>
              <w:jc w:val="center"/>
              <w:rPr>
                <w:rFonts w:ascii="仿宋_GB2312" w:hAnsi="仿宋" w:eastAsia="仿宋_GB2312" w:cs="Arial"/>
                <w:b/>
                <w:color w:val="000000"/>
                <w:sz w:val="24"/>
                <w:szCs w:val="24"/>
              </w:rPr>
            </w:pPr>
            <w:r>
              <w:rPr>
                <w:rFonts w:ascii="仿宋_GB2312" w:hAnsi="仿宋" w:eastAsia="仿宋_GB2312" w:cs="Arial"/>
                <w:b/>
                <w:color w:val="000000"/>
                <w:sz w:val="24"/>
                <w:szCs w:val="24"/>
              </w:rPr>
              <w:t>职务/职称</w:t>
            </w:r>
          </w:p>
        </w:tc>
        <w:tc>
          <w:tcPr>
            <w:tcW w:w="851" w:type="dxa"/>
            <w:vAlign w:val="center"/>
          </w:tcPr>
          <w:p>
            <w:pPr>
              <w:jc w:val="center"/>
              <w:rPr>
                <w:rFonts w:ascii="仿宋_GB2312" w:hAnsi="仿宋" w:eastAsia="仿宋_GB2312" w:cs="Arial"/>
                <w:b/>
                <w:color w:val="000000"/>
                <w:sz w:val="24"/>
                <w:szCs w:val="24"/>
              </w:rPr>
            </w:pPr>
            <w:r>
              <w:rPr>
                <w:rFonts w:ascii="仿宋_GB2312" w:hAnsi="仿宋" w:eastAsia="仿宋_GB2312" w:cs="Arial"/>
                <w:b/>
                <w:color w:val="000000"/>
                <w:sz w:val="24"/>
                <w:szCs w:val="24"/>
              </w:rPr>
              <w:t>年龄</w:t>
            </w:r>
          </w:p>
        </w:tc>
        <w:tc>
          <w:tcPr>
            <w:tcW w:w="1284" w:type="dxa"/>
            <w:vAlign w:val="center"/>
          </w:tcPr>
          <w:p>
            <w:pPr>
              <w:jc w:val="center"/>
              <w:rPr>
                <w:rFonts w:ascii="仿宋_GB2312" w:hAnsi="仿宋" w:eastAsia="仿宋_GB2312" w:cs="Arial"/>
                <w:b/>
                <w:color w:val="000000"/>
                <w:sz w:val="24"/>
                <w:szCs w:val="24"/>
              </w:rPr>
            </w:pPr>
            <w:r>
              <w:rPr>
                <w:rFonts w:ascii="仿宋_GB2312" w:hAnsi="仿宋" w:eastAsia="仿宋_GB2312" w:cs="Arial"/>
                <w:b/>
                <w:color w:val="000000"/>
                <w:sz w:val="24"/>
                <w:szCs w:val="24"/>
              </w:rPr>
              <w:t>手机号码</w:t>
            </w:r>
          </w:p>
        </w:tc>
        <w:tc>
          <w:tcPr>
            <w:tcW w:w="1440" w:type="dxa"/>
            <w:vAlign w:val="center"/>
          </w:tcPr>
          <w:p>
            <w:pPr>
              <w:jc w:val="center"/>
              <w:rPr>
                <w:rFonts w:ascii="仿宋_GB2312" w:hAnsi="仿宋" w:eastAsia="仿宋_GB2312" w:cs="Arial"/>
                <w:b/>
                <w:color w:val="000000"/>
                <w:sz w:val="24"/>
                <w:szCs w:val="24"/>
              </w:rPr>
            </w:pPr>
            <w:r>
              <w:rPr>
                <w:rFonts w:ascii="仿宋_GB2312" w:hAnsi="仿宋" w:eastAsia="仿宋_GB2312" w:cs="Arial"/>
                <w:b/>
                <w:color w:val="000000"/>
                <w:sz w:val="24"/>
                <w:szCs w:val="24"/>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adjustRightInd w:val="0"/>
              <w:snapToGrid w:val="0"/>
              <w:rPr>
                <w:rFonts w:ascii="Arial Narrow" w:hAnsi="Arial Narrow" w:cs="宋体"/>
                <w:sz w:val="24"/>
                <w:szCs w:val="24"/>
              </w:rPr>
            </w:pPr>
          </w:p>
        </w:tc>
        <w:tc>
          <w:tcPr>
            <w:tcW w:w="2115" w:type="dxa"/>
          </w:tcPr>
          <w:p>
            <w:pPr>
              <w:adjustRightInd w:val="0"/>
              <w:snapToGrid w:val="0"/>
              <w:rPr>
                <w:rFonts w:ascii="Arial Narrow" w:hAnsi="Arial Narrow" w:cs="宋体"/>
                <w:sz w:val="24"/>
                <w:szCs w:val="24"/>
              </w:rPr>
            </w:pPr>
          </w:p>
        </w:tc>
        <w:tc>
          <w:tcPr>
            <w:tcW w:w="993" w:type="dxa"/>
          </w:tcPr>
          <w:p>
            <w:pPr>
              <w:adjustRightInd w:val="0"/>
              <w:snapToGrid w:val="0"/>
              <w:rPr>
                <w:rFonts w:ascii="Arial Narrow" w:hAnsi="Arial Narrow" w:cs="宋体"/>
                <w:sz w:val="24"/>
                <w:szCs w:val="24"/>
              </w:rPr>
            </w:pPr>
          </w:p>
        </w:tc>
        <w:tc>
          <w:tcPr>
            <w:tcW w:w="1417" w:type="dxa"/>
          </w:tcPr>
          <w:p>
            <w:pPr>
              <w:adjustRightInd w:val="0"/>
              <w:snapToGrid w:val="0"/>
              <w:rPr>
                <w:rFonts w:ascii="Arial Narrow" w:hAnsi="Arial Narrow" w:cs="宋体"/>
                <w:sz w:val="24"/>
                <w:szCs w:val="24"/>
              </w:rPr>
            </w:pPr>
          </w:p>
        </w:tc>
        <w:tc>
          <w:tcPr>
            <w:tcW w:w="851" w:type="dxa"/>
          </w:tcPr>
          <w:p>
            <w:pPr>
              <w:adjustRightInd w:val="0"/>
              <w:snapToGrid w:val="0"/>
              <w:rPr>
                <w:rFonts w:ascii="Arial Narrow" w:hAnsi="Arial Narrow" w:cs="宋体"/>
                <w:sz w:val="24"/>
                <w:szCs w:val="24"/>
              </w:rPr>
            </w:pPr>
          </w:p>
        </w:tc>
        <w:tc>
          <w:tcPr>
            <w:tcW w:w="1284" w:type="dxa"/>
          </w:tcPr>
          <w:p>
            <w:pPr>
              <w:adjustRightInd w:val="0"/>
              <w:snapToGrid w:val="0"/>
              <w:rPr>
                <w:rFonts w:ascii="Arial Narrow" w:hAnsi="Arial Narrow" w:cs="宋体"/>
                <w:sz w:val="24"/>
                <w:szCs w:val="24"/>
              </w:rPr>
            </w:pPr>
          </w:p>
        </w:tc>
        <w:tc>
          <w:tcPr>
            <w:tcW w:w="1440" w:type="dxa"/>
          </w:tcPr>
          <w:p>
            <w:pPr>
              <w:adjustRightInd w:val="0"/>
              <w:snapToGrid w:val="0"/>
              <w:rPr>
                <w:rFonts w:ascii="Arial Narrow" w:hAnsi="Arial Narrow"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adjustRightInd w:val="0"/>
              <w:snapToGrid w:val="0"/>
              <w:rPr>
                <w:rFonts w:ascii="Arial Narrow" w:hAnsi="Arial Narrow" w:cs="宋体"/>
                <w:sz w:val="24"/>
                <w:szCs w:val="24"/>
              </w:rPr>
            </w:pPr>
          </w:p>
        </w:tc>
        <w:tc>
          <w:tcPr>
            <w:tcW w:w="2115" w:type="dxa"/>
          </w:tcPr>
          <w:p>
            <w:pPr>
              <w:adjustRightInd w:val="0"/>
              <w:snapToGrid w:val="0"/>
              <w:rPr>
                <w:rFonts w:ascii="Arial Narrow" w:hAnsi="Arial Narrow" w:cs="宋体"/>
                <w:sz w:val="24"/>
                <w:szCs w:val="24"/>
              </w:rPr>
            </w:pPr>
          </w:p>
        </w:tc>
        <w:tc>
          <w:tcPr>
            <w:tcW w:w="993" w:type="dxa"/>
          </w:tcPr>
          <w:p>
            <w:pPr>
              <w:adjustRightInd w:val="0"/>
              <w:snapToGrid w:val="0"/>
              <w:rPr>
                <w:rFonts w:ascii="Arial Narrow" w:hAnsi="Arial Narrow" w:cs="宋体"/>
                <w:sz w:val="24"/>
                <w:szCs w:val="24"/>
              </w:rPr>
            </w:pPr>
          </w:p>
        </w:tc>
        <w:tc>
          <w:tcPr>
            <w:tcW w:w="1417" w:type="dxa"/>
          </w:tcPr>
          <w:p>
            <w:pPr>
              <w:adjustRightInd w:val="0"/>
              <w:snapToGrid w:val="0"/>
              <w:rPr>
                <w:rFonts w:ascii="Arial Narrow" w:hAnsi="Arial Narrow" w:cs="宋体"/>
                <w:sz w:val="24"/>
                <w:szCs w:val="24"/>
              </w:rPr>
            </w:pPr>
          </w:p>
        </w:tc>
        <w:tc>
          <w:tcPr>
            <w:tcW w:w="851" w:type="dxa"/>
          </w:tcPr>
          <w:p>
            <w:pPr>
              <w:adjustRightInd w:val="0"/>
              <w:snapToGrid w:val="0"/>
              <w:rPr>
                <w:rFonts w:ascii="Arial Narrow" w:hAnsi="Arial Narrow" w:cs="宋体"/>
                <w:sz w:val="24"/>
                <w:szCs w:val="24"/>
              </w:rPr>
            </w:pPr>
          </w:p>
        </w:tc>
        <w:tc>
          <w:tcPr>
            <w:tcW w:w="1284" w:type="dxa"/>
          </w:tcPr>
          <w:p>
            <w:pPr>
              <w:adjustRightInd w:val="0"/>
              <w:snapToGrid w:val="0"/>
              <w:rPr>
                <w:rFonts w:ascii="Arial Narrow" w:hAnsi="Arial Narrow" w:cs="宋体"/>
                <w:sz w:val="24"/>
                <w:szCs w:val="24"/>
              </w:rPr>
            </w:pPr>
          </w:p>
        </w:tc>
        <w:tc>
          <w:tcPr>
            <w:tcW w:w="1440" w:type="dxa"/>
          </w:tcPr>
          <w:p>
            <w:pPr>
              <w:adjustRightInd w:val="0"/>
              <w:snapToGrid w:val="0"/>
              <w:rPr>
                <w:rFonts w:ascii="Arial Narrow" w:hAnsi="Arial Narrow"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adjustRightInd w:val="0"/>
              <w:snapToGrid w:val="0"/>
              <w:rPr>
                <w:rFonts w:ascii="Arial Narrow" w:hAnsi="Arial Narrow" w:cs="宋体"/>
                <w:sz w:val="24"/>
                <w:szCs w:val="24"/>
              </w:rPr>
            </w:pPr>
          </w:p>
        </w:tc>
        <w:tc>
          <w:tcPr>
            <w:tcW w:w="2115" w:type="dxa"/>
          </w:tcPr>
          <w:p>
            <w:pPr>
              <w:adjustRightInd w:val="0"/>
              <w:snapToGrid w:val="0"/>
              <w:rPr>
                <w:rFonts w:ascii="Arial Narrow" w:hAnsi="Arial Narrow" w:cs="宋体"/>
                <w:sz w:val="24"/>
                <w:szCs w:val="24"/>
              </w:rPr>
            </w:pPr>
          </w:p>
        </w:tc>
        <w:tc>
          <w:tcPr>
            <w:tcW w:w="993" w:type="dxa"/>
          </w:tcPr>
          <w:p>
            <w:pPr>
              <w:adjustRightInd w:val="0"/>
              <w:snapToGrid w:val="0"/>
              <w:rPr>
                <w:rFonts w:ascii="Arial Narrow" w:hAnsi="Arial Narrow" w:cs="宋体"/>
                <w:sz w:val="24"/>
                <w:szCs w:val="24"/>
              </w:rPr>
            </w:pPr>
          </w:p>
        </w:tc>
        <w:tc>
          <w:tcPr>
            <w:tcW w:w="1417" w:type="dxa"/>
          </w:tcPr>
          <w:p>
            <w:pPr>
              <w:adjustRightInd w:val="0"/>
              <w:snapToGrid w:val="0"/>
              <w:rPr>
                <w:rFonts w:ascii="Arial Narrow" w:hAnsi="Arial Narrow" w:cs="宋体"/>
                <w:sz w:val="24"/>
                <w:szCs w:val="24"/>
              </w:rPr>
            </w:pPr>
          </w:p>
        </w:tc>
        <w:tc>
          <w:tcPr>
            <w:tcW w:w="851" w:type="dxa"/>
          </w:tcPr>
          <w:p>
            <w:pPr>
              <w:adjustRightInd w:val="0"/>
              <w:snapToGrid w:val="0"/>
              <w:rPr>
                <w:rFonts w:ascii="Arial Narrow" w:hAnsi="Arial Narrow" w:cs="宋体"/>
                <w:sz w:val="24"/>
                <w:szCs w:val="24"/>
              </w:rPr>
            </w:pPr>
          </w:p>
        </w:tc>
        <w:tc>
          <w:tcPr>
            <w:tcW w:w="1284" w:type="dxa"/>
          </w:tcPr>
          <w:p>
            <w:pPr>
              <w:adjustRightInd w:val="0"/>
              <w:snapToGrid w:val="0"/>
              <w:rPr>
                <w:rFonts w:ascii="Arial Narrow" w:hAnsi="Arial Narrow" w:cs="宋体"/>
                <w:sz w:val="24"/>
                <w:szCs w:val="24"/>
              </w:rPr>
            </w:pPr>
          </w:p>
        </w:tc>
        <w:tc>
          <w:tcPr>
            <w:tcW w:w="1440" w:type="dxa"/>
          </w:tcPr>
          <w:p>
            <w:pPr>
              <w:adjustRightInd w:val="0"/>
              <w:snapToGrid w:val="0"/>
              <w:rPr>
                <w:rFonts w:ascii="Arial Narrow" w:hAnsi="Arial Narrow"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adjustRightInd w:val="0"/>
              <w:snapToGrid w:val="0"/>
              <w:rPr>
                <w:rFonts w:ascii="Arial Narrow" w:hAnsi="Arial Narrow" w:cs="宋体"/>
                <w:sz w:val="24"/>
                <w:szCs w:val="24"/>
              </w:rPr>
            </w:pPr>
          </w:p>
        </w:tc>
        <w:tc>
          <w:tcPr>
            <w:tcW w:w="2115" w:type="dxa"/>
          </w:tcPr>
          <w:p>
            <w:pPr>
              <w:adjustRightInd w:val="0"/>
              <w:snapToGrid w:val="0"/>
              <w:rPr>
                <w:rFonts w:ascii="Arial Narrow" w:hAnsi="Arial Narrow" w:cs="宋体"/>
                <w:sz w:val="24"/>
                <w:szCs w:val="24"/>
              </w:rPr>
            </w:pPr>
          </w:p>
        </w:tc>
        <w:tc>
          <w:tcPr>
            <w:tcW w:w="993" w:type="dxa"/>
          </w:tcPr>
          <w:p>
            <w:pPr>
              <w:adjustRightInd w:val="0"/>
              <w:snapToGrid w:val="0"/>
              <w:rPr>
                <w:rFonts w:ascii="Arial Narrow" w:hAnsi="Arial Narrow" w:cs="宋体"/>
                <w:sz w:val="24"/>
                <w:szCs w:val="24"/>
              </w:rPr>
            </w:pPr>
          </w:p>
        </w:tc>
        <w:tc>
          <w:tcPr>
            <w:tcW w:w="1417" w:type="dxa"/>
          </w:tcPr>
          <w:p>
            <w:pPr>
              <w:adjustRightInd w:val="0"/>
              <w:snapToGrid w:val="0"/>
              <w:rPr>
                <w:rFonts w:ascii="Arial Narrow" w:hAnsi="Arial Narrow" w:cs="宋体"/>
                <w:sz w:val="24"/>
                <w:szCs w:val="24"/>
              </w:rPr>
            </w:pPr>
          </w:p>
        </w:tc>
        <w:tc>
          <w:tcPr>
            <w:tcW w:w="851" w:type="dxa"/>
          </w:tcPr>
          <w:p>
            <w:pPr>
              <w:adjustRightInd w:val="0"/>
              <w:snapToGrid w:val="0"/>
              <w:rPr>
                <w:rFonts w:ascii="Arial Narrow" w:hAnsi="Arial Narrow" w:cs="宋体"/>
                <w:sz w:val="24"/>
                <w:szCs w:val="24"/>
              </w:rPr>
            </w:pPr>
          </w:p>
        </w:tc>
        <w:tc>
          <w:tcPr>
            <w:tcW w:w="1284" w:type="dxa"/>
          </w:tcPr>
          <w:p>
            <w:pPr>
              <w:adjustRightInd w:val="0"/>
              <w:snapToGrid w:val="0"/>
              <w:rPr>
                <w:rFonts w:ascii="Arial Narrow" w:hAnsi="Arial Narrow" w:cs="宋体"/>
                <w:sz w:val="24"/>
                <w:szCs w:val="24"/>
              </w:rPr>
            </w:pPr>
          </w:p>
        </w:tc>
        <w:tc>
          <w:tcPr>
            <w:tcW w:w="1440" w:type="dxa"/>
          </w:tcPr>
          <w:p>
            <w:pPr>
              <w:adjustRightInd w:val="0"/>
              <w:snapToGrid w:val="0"/>
              <w:rPr>
                <w:rFonts w:ascii="Arial Narrow" w:hAnsi="Arial Narrow"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adjustRightInd w:val="0"/>
              <w:snapToGrid w:val="0"/>
              <w:rPr>
                <w:rFonts w:ascii="Arial Narrow" w:hAnsi="Arial Narrow" w:cs="宋体"/>
                <w:sz w:val="24"/>
                <w:szCs w:val="24"/>
              </w:rPr>
            </w:pPr>
          </w:p>
        </w:tc>
        <w:tc>
          <w:tcPr>
            <w:tcW w:w="2115" w:type="dxa"/>
          </w:tcPr>
          <w:p>
            <w:pPr>
              <w:adjustRightInd w:val="0"/>
              <w:snapToGrid w:val="0"/>
              <w:rPr>
                <w:rFonts w:ascii="Arial Narrow" w:hAnsi="Arial Narrow" w:cs="宋体"/>
                <w:sz w:val="24"/>
                <w:szCs w:val="24"/>
              </w:rPr>
            </w:pPr>
          </w:p>
        </w:tc>
        <w:tc>
          <w:tcPr>
            <w:tcW w:w="993" w:type="dxa"/>
          </w:tcPr>
          <w:p>
            <w:pPr>
              <w:adjustRightInd w:val="0"/>
              <w:snapToGrid w:val="0"/>
              <w:rPr>
                <w:rFonts w:ascii="Arial Narrow" w:hAnsi="Arial Narrow" w:cs="宋体"/>
                <w:sz w:val="24"/>
                <w:szCs w:val="24"/>
              </w:rPr>
            </w:pPr>
          </w:p>
        </w:tc>
        <w:tc>
          <w:tcPr>
            <w:tcW w:w="1417" w:type="dxa"/>
          </w:tcPr>
          <w:p>
            <w:pPr>
              <w:adjustRightInd w:val="0"/>
              <w:snapToGrid w:val="0"/>
              <w:rPr>
                <w:rFonts w:ascii="Arial Narrow" w:hAnsi="Arial Narrow" w:cs="宋体"/>
                <w:sz w:val="24"/>
                <w:szCs w:val="24"/>
              </w:rPr>
            </w:pPr>
          </w:p>
        </w:tc>
        <w:tc>
          <w:tcPr>
            <w:tcW w:w="851" w:type="dxa"/>
          </w:tcPr>
          <w:p>
            <w:pPr>
              <w:adjustRightInd w:val="0"/>
              <w:snapToGrid w:val="0"/>
              <w:rPr>
                <w:rFonts w:ascii="Arial Narrow" w:hAnsi="Arial Narrow" w:cs="宋体"/>
                <w:sz w:val="24"/>
                <w:szCs w:val="24"/>
              </w:rPr>
            </w:pPr>
          </w:p>
        </w:tc>
        <w:tc>
          <w:tcPr>
            <w:tcW w:w="1284" w:type="dxa"/>
          </w:tcPr>
          <w:p>
            <w:pPr>
              <w:adjustRightInd w:val="0"/>
              <w:snapToGrid w:val="0"/>
              <w:rPr>
                <w:rFonts w:ascii="Arial Narrow" w:hAnsi="Arial Narrow" w:cs="宋体"/>
                <w:sz w:val="24"/>
                <w:szCs w:val="24"/>
              </w:rPr>
            </w:pPr>
          </w:p>
        </w:tc>
        <w:tc>
          <w:tcPr>
            <w:tcW w:w="1440" w:type="dxa"/>
          </w:tcPr>
          <w:p>
            <w:pPr>
              <w:adjustRightInd w:val="0"/>
              <w:snapToGrid w:val="0"/>
              <w:rPr>
                <w:rFonts w:ascii="Arial Narrow" w:hAnsi="Arial Narrow"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adjustRightInd w:val="0"/>
              <w:snapToGrid w:val="0"/>
              <w:rPr>
                <w:rFonts w:ascii="Arial Narrow" w:hAnsi="Arial Narrow" w:cs="宋体"/>
                <w:sz w:val="24"/>
                <w:szCs w:val="24"/>
              </w:rPr>
            </w:pPr>
          </w:p>
        </w:tc>
        <w:tc>
          <w:tcPr>
            <w:tcW w:w="2115" w:type="dxa"/>
          </w:tcPr>
          <w:p>
            <w:pPr>
              <w:adjustRightInd w:val="0"/>
              <w:snapToGrid w:val="0"/>
              <w:rPr>
                <w:rFonts w:ascii="Arial Narrow" w:hAnsi="Arial Narrow" w:cs="宋体"/>
                <w:sz w:val="24"/>
                <w:szCs w:val="24"/>
              </w:rPr>
            </w:pPr>
          </w:p>
        </w:tc>
        <w:tc>
          <w:tcPr>
            <w:tcW w:w="993" w:type="dxa"/>
          </w:tcPr>
          <w:p>
            <w:pPr>
              <w:adjustRightInd w:val="0"/>
              <w:snapToGrid w:val="0"/>
              <w:rPr>
                <w:rFonts w:ascii="Arial Narrow" w:hAnsi="Arial Narrow" w:cs="宋体"/>
                <w:sz w:val="24"/>
                <w:szCs w:val="24"/>
              </w:rPr>
            </w:pPr>
          </w:p>
        </w:tc>
        <w:tc>
          <w:tcPr>
            <w:tcW w:w="1417" w:type="dxa"/>
          </w:tcPr>
          <w:p>
            <w:pPr>
              <w:adjustRightInd w:val="0"/>
              <w:snapToGrid w:val="0"/>
              <w:rPr>
                <w:rFonts w:ascii="Arial Narrow" w:hAnsi="Arial Narrow" w:cs="宋体"/>
                <w:sz w:val="24"/>
                <w:szCs w:val="24"/>
              </w:rPr>
            </w:pPr>
          </w:p>
        </w:tc>
        <w:tc>
          <w:tcPr>
            <w:tcW w:w="851" w:type="dxa"/>
          </w:tcPr>
          <w:p>
            <w:pPr>
              <w:adjustRightInd w:val="0"/>
              <w:snapToGrid w:val="0"/>
              <w:rPr>
                <w:rFonts w:ascii="Arial Narrow" w:hAnsi="Arial Narrow" w:cs="宋体"/>
                <w:sz w:val="24"/>
                <w:szCs w:val="24"/>
              </w:rPr>
            </w:pPr>
          </w:p>
        </w:tc>
        <w:tc>
          <w:tcPr>
            <w:tcW w:w="1284" w:type="dxa"/>
          </w:tcPr>
          <w:p>
            <w:pPr>
              <w:adjustRightInd w:val="0"/>
              <w:snapToGrid w:val="0"/>
              <w:rPr>
                <w:rFonts w:ascii="Arial Narrow" w:hAnsi="Arial Narrow" w:cs="宋体"/>
                <w:sz w:val="24"/>
                <w:szCs w:val="24"/>
              </w:rPr>
            </w:pPr>
          </w:p>
        </w:tc>
        <w:tc>
          <w:tcPr>
            <w:tcW w:w="1440" w:type="dxa"/>
          </w:tcPr>
          <w:p>
            <w:pPr>
              <w:adjustRightInd w:val="0"/>
              <w:snapToGrid w:val="0"/>
              <w:rPr>
                <w:rFonts w:ascii="Arial Narrow" w:hAnsi="Arial Narrow"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adjustRightInd w:val="0"/>
              <w:snapToGrid w:val="0"/>
              <w:rPr>
                <w:rFonts w:ascii="Arial Narrow" w:hAnsi="Arial Narrow" w:cs="宋体"/>
                <w:sz w:val="24"/>
                <w:szCs w:val="24"/>
              </w:rPr>
            </w:pPr>
          </w:p>
        </w:tc>
        <w:tc>
          <w:tcPr>
            <w:tcW w:w="2115" w:type="dxa"/>
          </w:tcPr>
          <w:p>
            <w:pPr>
              <w:adjustRightInd w:val="0"/>
              <w:snapToGrid w:val="0"/>
              <w:rPr>
                <w:rFonts w:ascii="Arial Narrow" w:hAnsi="Arial Narrow" w:cs="宋体"/>
                <w:sz w:val="24"/>
                <w:szCs w:val="24"/>
              </w:rPr>
            </w:pPr>
          </w:p>
        </w:tc>
        <w:tc>
          <w:tcPr>
            <w:tcW w:w="993" w:type="dxa"/>
          </w:tcPr>
          <w:p>
            <w:pPr>
              <w:adjustRightInd w:val="0"/>
              <w:snapToGrid w:val="0"/>
              <w:rPr>
                <w:rFonts w:ascii="Arial Narrow" w:hAnsi="Arial Narrow" w:cs="宋体"/>
                <w:sz w:val="24"/>
                <w:szCs w:val="24"/>
              </w:rPr>
            </w:pPr>
          </w:p>
        </w:tc>
        <w:tc>
          <w:tcPr>
            <w:tcW w:w="1417" w:type="dxa"/>
          </w:tcPr>
          <w:p>
            <w:pPr>
              <w:adjustRightInd w:val="0"/>
              <w:snapToGrid w:val="0"/>
              <w:rPr>
                <w:rFonts w:ascii="Arial Narrow" w:hAnsi="Arial Narrow" w:cs="宋体"/>
                <w:sz w:val="24"/>
                <w:szCs w:val="24"/>
              </w:rPr>
            </w:pPr>
          </w:p>
        </w:tc>
        <w:tc>
          <w:tcPr>
            <w:tcW w:w="851" w:type="dxa"/>
          </w:tcPr>
          <w:p>
            <w:pPr>
              <w:adjustRightInd w:val="0"/>
              <w:snapToGrid w:val="0"/>
              <w:rPr>
                <w:rFonts w:ascii="Arial Narrow" w:hAnsi="Arial Narrow" w:cs="宋体"/>
                <w:sz w:val="24"/>
                <w:szCs w:val="24"/>
              </w:rPr>
            </w:pPr>
          </w:p>
        </w:tc>
        <w:tc>
          <w:tcPr>
            <w:tcW w:w="1284" w:type="dxa"/>
          </w:tcPr>
          <w:p>
            <w:pPr>
              <w:adjustRightInd w:val="0"/>
              <w:snapToGrid w:val="0"/>
              <w:rPr>
                <w:rFonts w:ascii="Arial Narrow" w:hAnsi="Arial Narrow" w:cs="宋体"/>
                <w:sz w:val="24"/>
                <w:szCs w:val="24"/>
              </w:rPr>
            </w:pPr>
          </w:p>
        </w:tc>
        <w:tc>
          <w:tcPr>
            <w:tcW w:w="1440" w:type="dxa"/>
          </w:tcPr>
          <w:p>
            <w:pPr>
              <w:adjustRightInd w:val="0"/>
              <w:snapToGrid w:val="0"/>
              <w:rPr>
                <w:rFonts w:ascii="Arial Narrow" w:hAnsi="Arial Narrow"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adjustRightInd w:val="0"/>
              <w:snapToGrid w:val="0"/>
              <w:rPr>
                <w:rFonts w:ascii="Arial Narrow" w:hAnsi="Arial Narrow" w:cs="宋体"/>
                <w:sz w:val="24"/>
                <w:szCs w:val="24"/>
              </w:rPr>
            </w:pPr>
          </w:p>
        </w:tc>
        <w:tc>
          <w:tcPr>
            <w:tcW w:w="2115" w:type="dxa"/>
          </w:tcPr>
          <w:p>
            <w:pPr>
              <w:adjustRightInd w:val="0"/>
              <w:snapToGrid w:val="0"/>
              <w:rPr>
                <w:rFonts w:ascii="Arial Narrow" w:hAnsi="Arial Narrow" w:cs="宋体"/>
                <w:sz w:val="24"/>
                <w:szCs w:val="24"/>
              </w:rPr>
            </w:pPr>
          </w:p>
        </w:tc>
        <w:tc>
          <w:tcPr>
            <w:tcW w:w="993" w:type="dxa"/>
          </w:tcPr>
          <w:p>
            <w:pPr>
              <w:adjustRightInd w:val="0"/>
              <w:snapToGrid w:val="0"/>
              <w:rPr>
                <w:rFonts w:ascii="Arial Narrow" w:hAnsi="Arial Narrow" w:cs="宋体"/>
                <w:sz w:val="24"/>
                <w:szCs w:val="24"/>
              </w:rPr>
            </w:pPr>
          </w:p>
        </w:tc>
        <w:tc>
          <w:tcPr>
            <w:tcW w:w="1417" w:type="dxa"/>
          </w:tcPr>
          <w:p>
            <w:pPr>
              <w:adjustRightInd w:val="0"/>
              <w:snapToGrid w:val="0"/>
              <w:rPr>
                <w:rFonts w:ascii="Arial Narrow" w:hAnsi="Arial Narrow" w:cs="宋体"/>
                <w:sz w:val="24"/>
                <w:szCs w:val="24"/>
              </w:rPr>
            </w:pPr>
          </w:p>
        </w:tc>
        <w:tc>
          <w:tcPr>
            <w:tcW w:w="851" w:type="dxa"/>
          </w:tcPr>
          <w:p>
            <w:pPr>
              <w:adjustRightInd w:val="0"/>
              <w:snapToGrid w:val="0"/>
              <w:rPr>
                <w:rFonts w:ascii="Arial Narrow" w:hAnsi="Arial Narrow" w:cs="宋体"/>
                <w:sz w:val="24"/>
                <w:szCs w:val="24"/>
              </w:rPr>
            </w:pPr>
          </w:p>
        </w:tc>
        <w:tc>
          <w:tcPr>
            <w:tcW w:w="1284" w:type="dxa"/>
          </w:tcPr>
          <w:p>
            <w:pPr>
              <w:adjustRightInd w:val="0"/>
              <w:snapToGrid w:val="0"/>
              <w:rPr>
                <w:rFonts w:ascii="Arial Narrow" w:hAnsi="Arial Narrow" w:cs="宋体"/>
                <w:sz w:val="24"/>
                <w:szCs w:val="24"/>
              </w:rPr>
            </w:pPr>
          </w:p>
        </w:tc>
        <w:tc>
          <w:tcPr>
            <w:tcW w:w="1440" w:type="dxa"/>
          </w:tcPr>
          <w:p>
            <w:pPr>
              <w:adjustRightInd w:val="0"/>
              <w:snapToGrid w:val="0"/>
              <w:rPr>
                <w:rFonts w:ascii="Arial Narrow" w:hAnsi="Arial Narrow"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adjustRightInd w:val="0"/>
              <w:snapToGrid w:val="0"/>
              <w:rPr>
                <w:rFonts w:ascii="Arial Narrow" w:hAnsi="Arial Narrow" w:cs="宋体"/>
                <w:sz w:val="24"/>
                <w:szCs w:val="24"/>
              </w:rPr>
            </w:pPr>
          </w:p>
        </w:tc>
        <w:tc>
          <w:tcPr>
            <w:tcW w:w="2115" w:type="dxa"/>
          </w:tcPr>
          <w:p>
            <w:pPr>
              <w:adjustRightInd w:val="0"/>
              <w:snapToGrid w:val="0"/>
              <w:rPr>
                <w:rFonts w:ascii="Arial Narrow" w:hAnsi="Arial Narrow" w:cs="宋体"/>
                <w:sz w:val="24"/>
                <w:szCs w:val="24"/>
              </w:rPr>
            </w:pPr>
          </w:p>
        </w:tc>
        <w:tc>
          <w:tcPr>
            <w:tcW w:w="993" w:type="dxa"/>
          </w:tcPr>
          <w:p>
            <w:pPr>
              <w:adjustRightInd w:val="0"/>
              <w:snapToGrid w:val="0"/>
              <w:rPr>
                <w:rFonts w:ascii="Arial Narrow" w:hAnsi="Arial Narrow" w:cs="宋体"/>
                <w:sz w:val="24"/>
                <w:szCs w:val="24"/>
              </w:rPr>
            </w:pPr>
          </w:p>
        </w:tc>
        <w:tc>
          <w:tcPr>
            <w:tcW w:w="1417" w:type="dxa"/>
          </w:tcPr>
          <w:p>
            <w:pPr>
              <w:adjustRightInd w:val="0"/>
              <w:snapToGrid w:val="0"/>
              <w:rPr>
                <w:rFonts w:ascii="Arial Narrow" w:hAnsi="Arial Narrow" w:cs="宋体"/>
                <w:sz w:val="24"/>
                <w:szCs w:val="24"/>
              </w:rPr>
            </w:pPr>
          </w:p>
        </w:tc>
        <w:tc>
          <w:tcPr>
            <w:tcW w:w="851" w:type="dxa"/>
          </w:tcPr>
          <w:p>
            <w:pPr>
              <w:adjustRightInd w:val="0"/>
              <w:snapToGrid w:val="0"/>
              <w:rPr>
                <w:rFonts w:ascii="Arial Narrow" w:hAnsi="Arial Narrow" w:cs="宋体"/>
                <w:sz w:val="24"/>
                <w:szCs w:val="24"/>
              </w:rPr>
            </w:pPr>
          </w:p>
        </w:tc>
        <w:tc>
          <w:tcPr>
            <w:tcW w:w="1284" w:type="dxa"/>
          </w:tcPr>
          <w:p>
            <w:pPr>
              <w:adjustRightInd w:val="0"/>
              <w:snapToGrid w:val="0"/>
              <w:rPr>
                <w:rFonts w:ascii="Arial Narrow" w:hAnsi="Arial Narrow" w:cs="宋体"/>
                <w:sz w:val="24"/>
                <w:szCs w:val="24"/>
              </w:rPr>
            </w:pPr>
          </w:p>
        </w:tc>
        <w:tc>
          <w:tcPr>
            <w:tcW w:w="1440" w:type="dxa"/>
          </w:tcPr>
          <w:p>
            <w:pPr>
              <w:adjustRightInd w:val="0"/>
              <w:snapToGrid w:val="0"/>
              <w:rPr>
                <w:rFonts w:ascii="Arial Narrow" w:hAnsi="Arial Narrow" w:cs="宋体"/>
                <w:sz w:val="24"/>
                <w:szCs w:val="24"/>
              </w:rPr>
            </w:pPr>
          </w:p>
        </w:tc>
      </w:tr>
    </w:tbl>
    <w:p>
      <w:pPr>
        <w:snapToGrid w:val="0"/>
        <w:spacing w:line="560" w:lineRule="exact"/>
        <w:ind w:firstLine="602" w:firstLineChars="200"/>
        <w:rPr>
          <w:rFonts w:ascii="Arial Narrow" w:hAnsi="Arial Narrow" w:eastAsia="仿宋_GB2312" w:cs="Arial"/>
          <w:b/>
          <w:sz w:val="30"/>
          <w:szCs w:val="30"/>
        </w:rPr>
      </w:pPr>
    </w:p>
    <w:p>
      <w:pPr>
        <w:snapToGrid w:val="0"/>
        <w:spacing w:line="560" w:lineRule="exact"/>
        <w:ind w:firstLine="602" w:firstLineChars="200"/>
        <w:rPr>
          <w:rFonts w:ascii="Arial Narrow" w:hAnsi="Arial Narrow" w:eastAsia="仿宋_GB2312" w:cs="Arial"/>
          <w:b/>
          <w:sz w:val="30"/>
          <w:szCs w:val="30"/>
        </w:rPr>
      </w:pPr>
      <w:r>
        <w:rPr>
          <w:rFonts w:hint="eastAsia" w:ascii="黑体" w:hAnsi="黑体" w:eastAsia="黑体" w:cs="黑体"/>
          <w:b/>
          <w:sz w:val="30"/>
          <w:szCs w:val="30"/>
        </w:rPr>
        <w:t>三、赛项目的</w:t>
      </w:r>
    </w:p>
    <w:p>
      <w:pPr>
        <w:snapToGrid w:val="0"/>
        <w:spacing w:line="560" w:lineRule="exact"/>
        <w:ind w:firstLine="600" w:firstLineChars="200"/>
        <w:rPr>
          <w:rFonts w:ascii="Arial Narrow" w:hAnsi="Arial Narrow" w:eastAsia="仿宋_GB2312" w:cs="Arial"/>
          <w:sz w:val="30"/>
          <w:szCs w:val="30"/>
        </w:rPr>
      </w:pPr>
      <w:r>
        <w:rPr>
          <w:rFonts w:hint="eastAsia" w:ascii="Arial Narrow" w:hAnsi="Arial Narrow" w:eastAsia="仿宋_GB2312" w:cs="Arial"/>
          <w:sz w:val="30"/>
          <w:szCs w:val="30"/>
        </w:rPr>
        <w:t>引领职业院校专业建设与课程改革；促进产教融合、校企合作、产业发展；展示职教改革成果及师生良好精神面貌等方面阐明赛项设计的目的和意义。</w:t>
      </w:r>
    </w:p>
    <w:p>
      <w:pPr>
        <w:snapToGrid w:val="0"/>
        <w:spacing w:line="560" w:lineRule="exact"/>
        <w:ind w:firstLine="602" w:firstLineChars="200"/>
        <w:rPr>
          <w:rFonts w:ascii="Arial Narrow" w:hAnsi="Arial Narrow" w:eastAsia="仿宋_GB2312" w:cs="Arial"/>
          <w:b/>
          <w:sz w:val="30"/>
          <w:szCs w:val="30"/>
        </w:rPr>
      </w:pPr>
      <w:r>
        <w:rPr>
          <w:rFonts w:hint="eastAsia" w:ascii="黑体" w:hAnsi="黑体" w:eastAsia="黑体" w:cs="黑体"/>
          <w:b/>
          <w:sz w:val="30"/>
          <w:szCs w:val="30"/>
        </w:rPr>
        <w:t>四、赛项设计原则</w:t>
      </w:r>
    </w:p>
    <w:p>
      <w:pPr>
        <w:snapToGrid w:val="0"/>
        <w:spacing w:line="560" w:lineRule="exact"/>
        <w:ind w:firstLine="600" w:firstLineChars="200"/>
        <w:rPr>
          <w:rFonts w:ascii="Arial Narrow" w:hAnsi="Arial Narrow" w:eastAsia="仿宋_GB2312" w:cs="Arial"/>
          <w:sz w:val="30"/>
          <w:szCs w:val="30"/>
        </w:rPr>
      </w:pPr>
      <w:r>
        <w:rPr>
          <w:rFonts w:ascii="Arial Narrow" w:hAnsi="Arial Narrow" w:eastAsia="仿宋_GB2312" w:cs="Arial"/>
          <w:sz w:val="30"/>
          <w:szCs w:val="30"/>
        </w:rPr>
        <w:t>（一）公开、公平、公正</w:t>
      </w:r>
      <w:r>
        <w:rPr>
          <w:rFonts w:hint="eastAsia" w:ascii="Arial Narrow" w:hAnsi="Arial Narrow" w:eastAsia="仿宋_GB2312" w:cs="Arial"/>
          <w:sz w:val="30"/>
          <w:szCs w:val="30"/>
        </w:rPr>
        <w:t>。</w:t>
      </w:r>
    </w:p>
    <w:p>
      <w:pPr>
        <w:spacing w:line="560" w:lineRule="exact"/>
        <w:ind w:firstLine="600" w:firstLineChars="200"/>
        <w:rPr>
          <w:rFonts w:ascii="Arial Narrow" w:hAnsi="Arial Narrow" w:eastAsia="仿宋_GB2312" w:cs="Arial"/>
          <w:sz w:val="30"/>
          <w:szCs w:val="30"/>
        </w:rPr>
      </w:pPr>
      <w:r>
        <w:rPr>
          <w:rFonts w:ascii="Arial Narrow" w:hAnsi="Arial Narrow" w:eastAsia="仿宋_GB2312" w:cs="Arial"/>
          <w:sz w:val="30"/>
          <w:szCs w:val="30"/>
        </w:rPr>
        <w:t>（二）</w:t>
      </w:r>
      <w:r>
        <w:rPr>
          <w:rFonts w:hint="eastAsia" w:ascii="Arial Narrow" w:hAnsi="Arial Narrow" w:eastAsia="仿宋_GB2312" w:cs="Arial"/>
          <w:sz w:val="30"/>
          <w:szCs w:val="30"/>
        </w:rPr>
        <w:t>常规</w:t>
      </w:r>
      <w:r>
        <w:rPr>
          <w:rFonts w:ascii="Arial Narrow" w:hAnsi="Arial Narrow" w:eastAsia="仿宋_GB2312" w:cs="Arial"/>
          <w:sz w:val="30"/>
          <w:szCs w:val="30"/>
        </w:rPr>
        <w:t>赛项关联专业人才需求量大或职业院校开设专业点多</w:t>
      </w:r>
      <w:r>
        <w:rPr>
          <w:rFonts w:hint="eastAsia" w:ascii="Arial Narrow" w:hAnsi="Arial Narrow" w:eastAsia="仿宋_GB2312" w:cs="Arial"/>
          <w:sz w:val="30"/>
          <w:szCs w:val="30"/>
        </w:rPr>
        <w:t>，</w:t>
      </w:r>
      <w:r>
        <w:rPr>
          <w:rFonts w:ascii="Arial Narrow" w:hAnsi="Arial Narrow" w:eastAsia="仿宋_GB2312" w:cs="Arial"/>
          <w:sz w:val="30"/>
          <w:szCs w:val="30"/>
        </w:rPr>
        <w:t>服务国家重点战略</w:t>
      </w:r>
      <w:r>
        <w:rPr>
          <w:rFonts w:hint="eastAsia" w:ascii="Arial Narrow" w:hAnsi="Arial Narrow" w:eastAsia="仿宋_GB2312" w:cs="Arial"/>
          <w:sz w:val="30"/>
          <w:szCs w:val="30"/>
        </w:rPr>
        <w:t>。</w:t>
      </w:r>
    </w:p>
    <w:p>
      <w:pPr>
        <w:spacing w:line="560" w:lineRule="exact"/>
        <w:ind w:firstLine="600" w:firstLineChars="200"/>
        <w:rPr>
          <w:rFonts w:ascii="Arial Narrow" w:hAnsi="Arial Narrow" w:eastAsia="仿宋_GB2312" w:cs="Arial"/>
          <w:sz w:val="30"/>
          <w:szCs w:val="30"/>
        </w:rPr>
      </w:pPr>
      <w:r>
        <w:rPr>
          <w:rFonts w:hint="eastAsia" w:ascii="仿宋_GB2312" w:eastAsia="仿宋_GB2312"/>
          <w:sz w:val="30"/>
          <w:szCs w:val="30"/>
        </w:rPr>
        <w:t>行业特色赛项所涉专业，必须对国家基础性、战略性产业起重要支持作用，且行业特色突出、全国布点较少。</w:t>
      </w:r>
    </w:p>
    <w:p>
      <w:pPr>
        <w:snapToGrid w:val="0"/>
        <w:spacing w:line="560" w:lineRule="exact"/>
        <w:ind w:firstLine="600" w:firstLineChars="200"/>
        <w:rPr>
          <w:rFonts w:ascii="Arial Narrow" w:hAnsi="Arial Narrow" w:eastAsia="仿宋_GB2312" w:cs="Arial"/>
          <w:sz w:val="30"/>
          <w:szCs w:val="30"/>
        </w:rPr>
      </w:pPr>
      <w:r>
        <w:rPr>
          <w:rFonts w:ascii="Arial Narrow" w:hAnsi="Arial Narrow" w:eastAsia="仿宋_GB2312" w:cs="Arial"/>
          <w:sz w:val="30"/>
          <w:szCs w:val="30"/>
        </w:rPr>
        <w:t>（三）竞赛内容对应相关职业岗位或岗位群、体现专业核心能力与核心知识、涵盖丰富的专业知识与专业技能点</w:t>
      </w:r>
      <w:r>
        <w:rPr>
          <w:rFonts w:hint="eastAsia" w:ascii="Arial Narrow" w:hAnsi="Arial Narrow" w:eastAsia="仿宋_GB2312" w:cs="Arial"/>
          <w:sz w:val="30"/>
          <w:szCs w:val="30"/>
        </w:rPr>
        <w:t>。</w:t>
      </w:r>
    </w:p>
    <w:p>
      <w:pPr>
        <w:snapToGrid w:val="0"/>
        <w:spacing w:line="560" w:lineRule="exact"/>
        <w:ind w:firstLine="600" w:firstLineChars="200"/>
        <w:rPr>
          <w:rFonts w:ascii="Arial Narrow" w:hAnsi="Arial Narrow" w:eastAsia="仿宋_GB2312" w:cs="Arial"/>
          <w:sz w:val="30"/>
          <w:szCs w:val="30"/>
        </w:rPr>
      </w:pPr>
      <w:r>
        <w:rPr>
          <w:rFonts w:ascii="Arial Narrow" w:hAnsi="Arial Narrow" w:eastAsia="仿宋_GB2312" w:cs="Arial"/>
          <w:sz w:val="30"/>
          <w:szCs w:val="30"/>
        </w:rPr>
        <w:t>（四）竞赛平台成熟。</w:t>
      </w:r>
      <w:r>
        <w:rPr>
          <w:rFonts w:ascii="Arial Narrow" w:hAnsi="Arial Narrow" w:eastAsia="仿宋_GB2312"/>
          <w:sz w:val="30"/>
          <w:szCs w:val="30"/>
        </w:rPr>
        <w:t>根据行业特点，赛项选择相对先进、通用性强、社会保有量高的设备与软件</w:t>
      </w:r>
      <w:r>
        <w:rPr>
          <w:rFonts w:hint="eastAsia" w:ascii="Arial Narrow" w:hAnsi="Arial Narrow" w:eastAsia="仿宋_GB2312"/>
          <w:sz w:val="30"/>
          <w:szCs w:val="30"/>
        </w:rPr>
        <w:t>。</w:t>
      </w:r>
    </w:p>
    <w:p>
      <w:pPr>
        <w:snapToGrid w:val="0"/>
        <w:spacing w:line="560" w:lineRule="exact"/>
        <w:ind w:firstLine="602" w:firstLineChars="200"/>
        <w:rPr>
          <w:rFonts w:ascii="Arial Narrow" w:hAnsi="Arial Narrow" w:eastAsia="仿宋_GB2312" w:cs="Arial"/>
          <w:b/>
          <w:sz w:val="30"/>
          <w:szCs w:val="30"/>
        </w:rPr>
      </w:pPr>
      <w:r>
        <w:rPr>
          <w:rFonts w:hint="eastAsia" w:ascii="黑体" w:hAnsi="黑体" w:eastAsia="黑体" w:cs="黑体"/>
          <w:b/>
          <w:sz w:val="30"/>
          <w:szCs w:val="30"/>
        </w:rPr>
        <w:t>五、赛项方案的特色与创新点</w:t>
      </w:r>
    </w:p>
    <w:p>
      <w:pPr>
        <w:snapToGrid w:val="0"/>
        <w:spacing w:line="560" w:lineRule="exact"/>
        <w:ind w:firstLine="600" w:firstLineChars="200"/>
        <w:rPr>
          <w:rFonts w:ascii="Arial Narrow" w:hAnsi="Arial Narrow" w:eastAsia="仿宋_GB2312" w:cs="Arial"/>
          <w:sz w:val="30"/>
          <w:szCs w:val="30"/>
        </w:rPr>
      </w:pPr>
      <w:r>
        <w:rPr>
          <w:rFonts w:ascii="Arial Narrow" w:hAnsi="Arial Narrow" w:eastAsia="仿宋_GB2312" w:cs="Arial"/>
          <w:sz w:val="30"/>
          <w:szCs w:val="30"/>
        </w:rPr>
        <w:t>应在竞赛内容选择、竞赛过程安排、竞赛结果评判、竞赛资源转化等方面形成赛项的特色与创新点。</w:t>
      </w:r>
    </w:p>
    <w:p>
      <w:pPr>
        <w:snapToGrid w:val="0"/>
        <w:spacing w:line="560" w:lineRule="exact"/>
        <w:ind w:firstLine="602" w:firstLineChars="200"/>
        <w:rPr>
          <w:rFonts w:ascii="黑体" w:hAnsi="黑体" w:eastAsia="黑体" w:cs="黑体"/>
          <w:b/>
          <w:sz w:val="30"/>
          <w:szCs w:val="30"/>
        </w:rPr>
      </w:pPr>
      <w:r>
        <w:rPr>
          <w:rFonts w:hint="eastAsia" w:ascii="黑体" w:hAnsi="黑体" w:eastAsia="黑体" w:cs="黑体"/>
          <w:b/>
          <w:sz w:val="30"/>
          <w:szCs w:val="30"/>
        </w:rPr>
        <w:t>六、竞赛内容简介（须附英文对照简介）</w:t>
      </w:r>
    </w:p>
    <w:p>
      <w:pPr>
        <w:snapToGrid w:val="0"/>
        <w:spacing w:line="560" w:lineRule="exact"/>
        <w:ind w:firstLine="600" w:firstLineChars="200"/>
        <w:rPr>
          <w:rFonts w:ascii="Arial Narrow" w:hAnsi="Arial Narrow" w:eastAsia="仿宋_GB2312" w:cs="Arial"/>
          <w:sz w:val="30"/>
          <w:szCs w:val="30"/>
        </w:rPr>
      </w:pPr>
      <w:r>
        <w:rPr>
          <w:rFonts w:ascii="Arial Narrow" w:hAnsi="Arial Narrow" w:eastAsia="仿宋_GB2312" w:cs="Arial"/>
          <w:sz w:val="30"/>
          <w:szCs w:val="30"/>
        </w:rPr>
        <w:t>概述竞赛内容，并侧重于核心技能的描述（不多于500字）。</w:t>
      </w:r>
    </w:p>
    <w:p>
      <w:pPr>
        <w:snapToGrid w:val="0"/>
        <w:spacing w:line="560" w:lineRule="exact"/>
        <w:ind w:firstLine="602" w:firstLineChars="200"/>
        <w:rPr>
          <w:rFonts w:ascii="黑体" w:hAnsi="黑体" w:eastAsia="黑体" w:cs="黑体"/>
          <w:b/>
          <w:sz w:val="30"/>
          <w:szCs w:val="30"/>
        </w:rPr>
      </w:pPr>
      <w:r>
        <w:rPr>
          <w:rFonts w:hint="eastAsia" w:ascii="黑体" w:hAnsi="黑体" w:eastAsia="黑体" w:cs="黑体"/>
          <w:b/>
          <w:sz w:val="30"/>
          <w:szCs w:val="30"/>
        </w:rPr>
        <w:t>七、竞赛方式（含组队要求、是否邀请境外代表队参赛）</w:t>
      </w:r>
    </w:p>
    <w:p>
      <w:pPr>
        <w:snapToGrid w:val="0"/>
        <w:spacing w:line="560" w:lineRule="exact"/>
        <w:ind w:firstLine="600" w:firstLineChars="200"/>
        <w:rPr>
          <w:rFonts w:ascii="Arial Narrow" w:hAnsi="Arial Narrow" w:eastAsia="仿宋_GB2312" w:cs="Arial"/>
          <w:sz w:val="30"/>
          <w:szCs w:val="30"/>
        </w:rPr>
      </w:pPr>
      <w:r>
        <w:rPr>
          <w:rFonts w:ascii="Arial Narrow" w:hAnsi="Arial Narrow" w:eastAsia="仿宋_GB2312" w:cs="Arial"/>
          <w:sz w:val="30"/>
          <w:szCs w:val="30"/>
        </w:rPr>
        <w:t>竞赛方式应明确是团体赛还是个人赛。组队方式应参考《全国职业院校技能大赛参赛报名办法》的有关要求。</w:t>
      </w:r>
      <w:r>
        <w:rPr>
          <w:rFonts w:hint="eastAsia" w:ascii="Arial Narrow" w:hAnsi="Arial Narrow" w:eastAsia="仿宋_GB2312" w:cs="Arial"/>
          <w:b/>
          <w:bCs/>
          <w:sz w:val="30"/>
          <w:szCs w:val="30"/>
        </w:rPr>
        <w:t>不得出现参赛名额分配的事项。</w:t>
      </w:r>
    </w:p>
    <w:p>
      <w:pPr>
        <w:snapToGrid w:val="0"/>
        <w:spacing w:line="560" w:lineRule="exact"/>
        <w:ind w:firstLine="602" w:firstLineChars="200"/>
        <w:rPr>
          <w:rFonts w:ascii="黑体" w:hAnsi="黑体" w:eastAsia="黑体" w:cs="黑体"/>
          <w:b/>
          <w:sz w:val="30"/>
          <w:szCs w:val="30"/>
        </w:rPr>
      </w:pPr>
      <w:r>
        <w:rPr>
          <w:rFonts w:hint="eastAsia" w:ascii="黑体" w:hAnsi="黑体" w:eastAsia="黑体" w:cs="黑体"/>
          <w:b/>
          <w:sz w:val="30"/>
          <w:szCs w:val="30"/>
        </w:rPr>
        <w:t>八、竞赛时间安排与流程</w:t>
      </w:r>
    </w:p>
    <w:p>
      <w:pPr>
        <w:snapToGrid w:val="0"/>
        <w:spacing w:line="560" w:lineRule="exact"/>
        <w:ind w:firstLine="600" w:firstLineChars="200"/>
        <w:rPr>
          <w:rFonts w:ascii="Arial Narrow" w:hAnsi="Arial Narrow" w:eastAsia="仿宋_GB2312" w:cs="Arial"/>
          <w:sz w:val="30"/>
          <w:szCs w:val="30"/>
        </w:rPr>
      </w:pPr>
      <w:r>
        <w:rPr>
          <w:rFonts w:ascii="Arial Narrow" w:hAnsi="Arial Narrow" w:eastAsia="仿宋_GB2312" w:cs="Arial"/>
          <w:sz w:val="30"/>
          <w:szCs w:val="30"/>
        </w:rPr>
        <w:t>应用表格或流程图</w:t>
      </w:r>
      <w:r>
        <w:rPr>
          <w:rFonts w:hint="eastAsia" w:ascii="Arial Narrow" w:hAnsi="Arial Narrow" w:eastAsia="仿宋_GB2312" w:cs="Arial"/>
          <w:sz w:val="30"/>
          <w:szCs w:val="30"/>
        </w:rPr>
        <w:t>，</w:t>
      </w:r>
      <w:r>
        <w:rPr>
          <w:rFonts w:ascii="Arial Narrow" w:hAnsi="Arial Narrow" w:eastAsia="仿宋_GB2312" w:cs="Arial"/>
          <w:sz w:val="30"/>
          <w:szCs w:val="30"/>
        </w:rPr>
        <w:t>简洁、明确地说明竞赛日程与流程安排。</w:t>
      </w:r>
    </w:p>
    <w:p>
      <w:pPr>
        <w:snapToGrid w:val="0"/>
        <w:spacing w:line="560" w:lineRule="exact"/>
        <w:ind w:firstLine="602" w:firstLineChars="200"/>
        <w:rPr>
          <w:rFonts w:ascii="Arial Narrow" w:hAnsi="Arial Narrow" w:eastAsia="仿宋_GB2312" w:cs="Arial"/>
          <w:b/>
          <w:sz w:val="30"/>
          <w:szCs w:val="30"/>
        </w:rPr>
      </w:pPr>
      <w:r>
        <w:rPr>
          <w:rFonts w:hint="eastAsia" w:ascii="黑体" w:hAnsi="黑体" w:eastAsia="黑体" w:cs="黑体"/>
          <w:b/>
          <w:sz w:val="30"/>
          <w:szCs w:val="30"/>
        </w:rPr>
        <w:t>九、竞赛试题</w:t>
      </w:r>
    </w:p>
    <w:p>
      <w:pPr>
        <w:snapToGrid w:val="0"/>
        <w:spacing w:line="560" w:lineRule="exact"/>
        <w:ind w:firstLine="600" w:firstLineChars="200"/>
        <w:rPr>
          <w:rFonts w:ascii="Arial Narrow" w:hAnsi="Arial Narrow" w:eastAsia="仿宋_GB2312" w:cs="Arial"/>
          <w:sz w:val="30"/>
          <w:szCs w:val="30"/>
        </w:rPr>
      </w:pPr>
      <w:r>
        <w:rPr>
          <w:rFonts w:ascii="Arial Narrow" w:hAnsi="Arial Narrow" w:eastAsia="仿宋_GB2312" w:cs="Arial"/>
          <w:sz w:val="30"/>
          <w:szCs w:val="30"/>
        </w:rPr>
        <w:t>申报赛项应提供样题或样卷。</w:t>
      </w:r>
    </w:p>
    <w:p>
      <w:pPr>
        <w:snapToGrid w:val="0"/>
        <w:spacing w:line="560" w:lineRule="exact"/>
        <w:ind w:firstLine="602" w:firstLineChars="200"/>
        <w:rPr>
          <w:rFonts w:ascii="Arial Narrow" w:hAnsi="Arial Narrow" w:eastAsia="仿宋_GB2312" w:cs="Arial"/>
          <w:b/>
          <w:sz w:val="30"/>
          <w:szCs w:val="30"/>
        </w:rPr>
      </w:pPr>
      <w:r>
        <w:rPr>
          <w:rFonts w:hint="eastAsia" w:ascii="黑体" w:hAnsi="黑体" w:eastAsia="黑体" w:cs="黑体"/>
          <w:b/>
          <w:sz w:val="30"/>
          <w:szCs w:val="30"/>
        </w:rPr>
        <w:t>十、评分标准制定原则、评分方法、评分细则</w:t>
      </w:r>
    </w:p>
    <w:p>
      <w:pPr>
        <w:snapToGrid w:val="0"/>
        <w:spacing w:line="560" w:lineRule="exact"/>
        <w:ind w:firstLine="600" w:firstLineChars="200"/>
        <w:rPr>
          <w:rFonts w:ascii="Arial Narrow" w:hAnsi="Arial Narrow" w:eastAsia="仿宋_GB2312" w:cs="Arial"/>
          <w:sz w:val="30"/>
          <w:szCs w:val="30"/>
        </w:rPr>
      </w:pPr>
      <w:r>
        <w:rPr>
          <w:rFonts w:hint="eastAsia" w:ascii="Arial Narrow" w:hAnsi="Arial Narrow" w:eastAsia="仿宋_GB2312" w:cs="Arial"/>
          <w:sz w:val="30"/>
          <w:szCs w:val="30"/>
        </w:rPr>
        <w:t>按</w:t>
      </w:r>
      <w:r>
        <w:rPr>
          <w:rFonts w:ascii="Arial Narrow" w:hAnsi="Arial Narrow" w:eastAsia="仿宋_GB2312" w:cs="Arial"/>
          <w:sz w:val="30"/>
          <w:szCs w:val="30"/>
        </w:rPr>
        <w:t>照《全国职业院校技能大赛成绩管理办法》的相关要求，根据申报赛项自身的特点，选定具有较强操作性的评分方法，编制评分细则。</w:t>
      </w:r>
    </w:p>
    <w:p>
      <w:pPr>
        <w:snapToGrid w:val="0"/>
        <w:spacing w:line="560" w:lineRule="exact"/>
        <w:ind w:firstLine="602" w:firstLineChars="200"/>
        <w:rPr>
          <w:rFonts w:ascii="Arial Narrow" w:hAnsi="Arial Narrow" w:eastAsia="仿宋_GB2312" w:cs="Arial"/>
          <w:b/>
          <w:sz w:val="30"/>
          <w:szCs w:val="30"/>
        </w:rPr>
      </w:pPr>
      <w:r>
        <w:rPr>
          <w:rFonts w:hint="eastAsia" w:ascii="黑体" w:hAnsi="黑体" w:eastAsia="黑体" w:cs="黑体"/>
          <w:b/>
          <w:sz w:val="30"/>
          <w:szCs w:val="30"/>
        </w:rPr>
        <w:t>十一、奖项设置</w:t>
      </w:r>
    </w:p>
    <w:p>
      <w:pPr>
        <w:snapToGrid w:val="0"/>
        <w:spacing w:line="560" w:lineRule="exact"/>
        <w:ind w:firstLine="600" w:firstLineChars="200"/>
        <w:rPr>
          <w:rFonts w:ascii="Arial Narrow" w:hAnsi="Arial Narrow" w:eastAsia="仿宋_GB2312" w:cs="Arial"/>
          <w:sz w:val="30"/>
          <w:szCs w:val="30"/>
        </w:rPr>
      </w:pPr>
      <w:r>
        <w:rPr>
          <w:rFonts w:hint="eastAsia" w:ascii="Arial Narrow" w:hAnsi="Arial Narrow" w:eastAsia="仿宋_GB2312" w:cs="Arial"/>
          <w:sz w:val="30"/>
          <w:szCs w:val="30"/>
        </w:rPr>
        <w:t>按</w:t>
      </w:r>
      <w:r>
        <w:rPr>
          <w:rFonts w:ascii="Arial Narrow" w:hAnsi="Arial Narrow" w:eastAsia="仿宋_GB2312" w:cs="Arial"/>
          <w:sz w:val="30"/>
          <w:szCs w:val="30"/>
        </w:rPr>
        <w:t>照执行《全国职业院校技能大赛</w:t>
      </w:r>
      <w:r>
        <w:rPr>
          <w:rFonts w:hint="eastAsia" w:ascii="Arial Narrow" w:hAnsi="Arial Narrow" w:eastAsia="仿宋_GB2312" w:cs="Arial"/>
          <w:sz w:val="30"/>
          <w:szCs w:val="30"/>
        </w:rPr>
        <w:t>奖惩办法</w:t>
      </w:r>
      <w:r>
        <w:rPr>
          <w:rFonts w:ascii="Arial Narrow" w:hAnsi="Arial Narrow" w:eastAsia="仿宋_GB2312" w:cs="Arial"/>
          <w:sz w:val="30"/>
          <w:szCs w:val="30"/>
        </w:rPr>
        <w:t>》的有关规定。</w:t>
      </w:r>
    </w:p>
    <w:p>
      <w:pPr>
        <w:snapToGrid w:val="0"/>
        <w:spacing w:line="560" w:lineRule="exact"/>
        <w:ind w:firstLine="602" w:firstLineChars="200"/>
        <w:rPr>
          <w:rFonts w:ascii="Arial Narrow" w:hAnsi="Arial Narrow" w:eastAsia="仿宋_GB2312" w:cs="Arial"/>
          <w:b/>
          <w:sz w:val="30"/>
          <w:szCs w:val="30"/>
        </w:rPr>
      </w:pPr>
      <w:r>
        <w:rPr>
          <w:rFonts w:hint="eastAsia" w:ascii="黑体" w:hAnsi="黑体" w:eastAsia="黑体" w:cs="黑体"/>
          <w:b/>
          <w:sz w:val="30"/>
          <w:szCs w:val="30"/>
        </w:rPr>
        <w:t>十二、技术规范</w:t>
      </w:r>
    </w:p>
    <w:p>
      <w:pPr>
        <w:snapToGrid w:val="0"/>
        <w:spacing w:line="560" w:lineRule="exact"/>
        <w:ind w:firstLine="600" w:firstLineChars="200"/>
        <w:rPr>
          <w:rFonts w:ascii="Arial Narrow" w:hAnsi="Arial Narrow" w:eastAsia="仿宋_GB2312" w:cs="Arial"/>
          <w:sz w:val="30"/>
          <w:szCs w:val="30"/>
        </w:rPr>
      </w:pPr>
      <w:r>
        <w:rPr>
          <w:rFonts w:hint="eastAsia" w:ascii="Arial Narrow" w:hAnsi="Arial Narrow" w:eastAsia="仿宋_GB2312" w:cs="Arial"/>
          <w:sz w:val="30"/>
          <w:szCs w:val="30"/>
        </w:rPr>
        <w:t>按</w:t>
      </w:r>
      <w:r>
        <w:rPr>
          <w:rFonts w:ascii="Arial Narrow" w:hAnsi="Arial Narrow" w:eastAsia="仿宋_GB2312" w:cs="Arial"/>
          <w:sz w:val="30"/>
          <w:szCs w:val="30"/>
        </w:rPr>
        <w:t>照《全国职业院校技能大赛赛项规程编制要求》，列出竞赛内容涉及技术规范的全部信息，包括相关的专业教育教学要求，行业、职业技术标准等。</w:t>
      </w:r>
    </w:p>
    <w:p>
      <w:pPr>
        <w:snapToGrid w:val="0"/>
        <w:spacing w:line="560" w:lineRule="exact"/>
        <w:ind w:firstLine="602" w:firstLineChars="200"/>
        <w:rPr>
          <w:rFonts w:ascii="Arial Narrow" w:hAnsi="Arial Narrow" w:eastAsia="仿宋_GB2312" w:cs="Arial"/>
          <w:b/>
          <w:sz w:val="30"/>
          <w:szCs w:val="30"/>
        </w:rPr>
      </w:pPr>
      <w:r>
        <w:rPr>
          <w:rFonts w:hint="eastAsia" w:ascii="黑体" w:hAnsi="黑体" w:eastAsia="黑体" w:cs="黑体"/>
          <w:b/>
          <w:sz w:val="30"/>
          <w:szCs w:val="30"/>
        </w:rPr>
        <w:t>十三、建议使用的比赛器材、技术平台和场地要求</w:t>
      </w:r>
    </w:p>
    <w:p>
      <w:pPr>
        <w:snapToGrid w:val="0"/>
        <w:spacing w:line="560" w:lineRule="exact"/>
        <w:ind w:firstLine="600" w:firstLineChars="200"/>
        <w:rPr>
          <w:rFonts w:ascii="Arial Narrow" w:hAnsi="Arial Narrow" w:eastAsia="仿宋_GB2312" w:cs="Arial"/>
          <w:sz w:val="30"/>
          <w:szCs w:val="30"/>
        </w:rPr>
      </w:pPr>
      <w:r>
        <w:rPr>
          <w:rFonts w:ascii="Arial Narrow" w:hAnsi="Arial Narrow" w:eastAsia="仿宋_GB2312" w:cs="Arial"/>
          <w:sz w:val="30"/>
          <w:szCs w:val="30"/>
        </w:rPr>
        <w:t>提供赛项所需的技术平台，包括参考硬件和软件信息、参考机器设备信息、参考工具器具信息等。</w:t>
      </w:r>
      <w:r>
        <w:rPr>
          <w:rFonts w:hint="eastAsia" w:ascii="Arial Narrow" w:hAnsi="Arial Narrow" w:eastAsia="仿宋_GB2312" w:cs="Arial"/>
          <w:b/>
          <w:bCs/>
          <w:sz w:val="30"/>
          <w:szCs w:val="30"/>
        </w:rPr>
        <w:t>不得出现企业名称。</w:t>
      </w:r>
    </w:p>
    <w:p>
      <w:pPr>
        <w:snapToGrid w:val="0"/>
        <w:spacing w:line="560" w:lineRule="exact"/>
        <w:ind w:firstLine="600" w:firstLineChars="200"/>
        <w:rPr>
          <w:rFonts w:ascii="Arial Narrow" w:hAnsi="Arial Narrow" w:eastAsia="仿宋_GB2312" w:cs="Arial"/>
          <w:sz w:val="30"/>
          <w:szCs w:val="30"/>
        </w:rPr>
      </w:pPr>
      <w:r>
        <w:rPr>
          <w:rFonts w:ascii="Arial Narrow" w:hAnsi="Arial Narrow" w:eastAsia="仿宋_GB2312" w:cs="Arial"/>
          <w:sz w:val="30"/>
          <w:szCs w:val="30"/>
        </w:rPr>
        <w:t>要对竞赛赛场环境、赛位设置、单位赛位大小、安全防范措施等，描述具体、明确。</w:t>
      </w:r>
    </w:p>
    <w:p>
      <w:pPr>
        <w:snapToGrid w:val="0"/>
        <w:spacing w:line="560" w:lineRule="exact"/>
        <w:ind w:firstLine="602" w:firstLineChars="200"/>
        <w:rPr>
          <w:rFonts w:ascii="Arial Narrow" w:hAnsi="Arial Narrow" w:eastAsia="仿宋_GB2312" w:cs="Arial"/>
          <w:b/>
          <w:sz w:val="30"/>
          <w:szCs w:val="30"/>
        </w:rPr>
      </w:pPr>
      <w:r>
        <w:rPr>
          <w:rFonts w:hint="eastAsia" w:ascii="黑体" w:hAnsi="黑体" w:eastAsia="黑体" w:cs="黑体"/>
          <w:b/>
          <w:sz w:val="30"/>
          <w:szCs w:val="30"/>
        </w:rPr>
        <w:t>十四、安全保障</w:t>
      </w:r>
    </w:p>
    <w:p>
      <w:pPr>
        <w:snapToGrid w:val="0"/>
        <w:spacing w:line="560" w:lineRule="exact"/>
        <w:ind w:firstLine="600" w:firstLineChars="200"/>
        <w:rPr>
          <w:rFonts w:ascii="Arial Narrow" w:hAnsi="Arial Narrow" w:eastAsia="仿宋_GB2312" w:cs="Arial"/>
          <w:sz w:val="30"/>
          <w:szCs w:val="30"/>
        </w:rPr>
      </w:pPr>
      <w:r>
        <w:rPr>
          <w:rFonts w:hint="eastAsia" w:ascii="Arial Narrow" w:hAnsi="Arial Narrow" w:eastAsia="仿宋_GB2312" w:cs="Arial"/>
          <w:sz w:val="30"/>
          <w:szCs w:val="30"/>
        </w:rPr>
        <w:t>按</w:t>
      </w:r>
      <w:r>
        <w:rPr>
          <w:rFonts w:ascii="Arial Narrow" w:hAnsi="Arial Narrow" w:eastAsia="仿宋_GB2312" w:cs="Arial"/>
          <w:sz w:val="30"/>
          <w:szCs w:val="30"/>
        </w:rPr>
        <w:t>照《全国职业院校技能大赛安全管理规定》的有关要求，依据申报赛项自身特点，明确所需的安全保障措施。</w:t>
      </w:r>
    </w:p>
    <w:p>
      <w:pPr>
        <w:snapToGrid w:val="0"/>
        <w:spacing w:line="560" w:lineRule="exact"/>
        <w:ind w:firstLine="602" w:firstLineChars="200"/>
        <w:rPr>
          <w:rFonts w:ascii="黑体" w:hAnsi="黑体" w:eastAsia="黑体" w:cs="黑体"/>
          <w:b/>
          <w:sz w:val="30"/>
          <w:szCs w:val="30"/>
        </w:rPr>
      </w:pPr>
      <w:r>
        <w:rPr>
          <w:rFonts w:hint="eastAsia" w:ascii="黑体" w:hAnsi="黑体" w:eastAsia="黑体" w:cs="黑体"/>
          <w:b/>
          <w:sz w:val="30"/>
          <w:szCs w:val="30"/>
        </w:rPr>
        <w:t>十五、经费概算</w:t>
      </w:r>
    </w:p>
    <w:p>
      <w:pPr>
        <w:snapToGrid w:val="0"/>
        <w:spacing w:line="560" w:lineRule="exact"/>
        <w:ind w:firstLine="600" w:firstLineChars="200"/>
        <w:rPr>
          <w:rFonts w:ascii="Arial Narrow" w:hAnsi="Arial Narrow" w:eastAsia="仿宋_GB2312" w:cs="Arial"/>
          <w:sz w:val="30"/>
          <w:szCs w:val="30"/>
        </w:rPr>
      </w:pPr>
      <w:r>
        <w:rPr>
          <w:rFonts w:hint="eastAsia" w:ascii="Arial Narrow" w:hAnsi="Arial Narrow" w:eastAsia="仿宋_GB2312" w:cs="Arial"/>
          <w:sz w:val="30"/>
          <w:szCs w:val="30"/>
        </w:rPr>
        <w:t>按</w:t>
      </w:r>
      <w:r>
        <w:rPr>
          <w:rFonts w:ascii="Arial Narrow" w:hAnsi="Arial Narrow" w:eastAsia="仿宋_GB2312" w:cs="Arial"/>
          <w:sz w:val="30"/>
          <w:szCs w:val="30"/>
        </w:rPr>
        <w:t>照《全国职业院校技能大赛经费管理</w:t>
      </w:r>
      <w:r>
        <w:rPr>
          <w:rFonts w:hint="eastAsia" w:ascii="Arial Narrow" w:hAnsi="Arial Narrow" w:eastAsia="仿宋_GB2312" w:cs="Arial"/>
          <w:sz w:val="30"/>
          <w:szCs w:val="30"/>
        </w:rPr>
        <w:t>暂行办法</w:t>
      </w:r>
      <w:r>
        <w:rPr>
          <w:rFonts w:ascii="Arial Narrow" w:hAnsi="Arial Narrow" w:eastAsia="仿宋_GB2312" w:cs="Arial"/>
          <w:sz w:val="30"/>
          <w:szCs w:val="30"/>
        </w:rPr>
        <w:t>》的有关要求，制定赛项经费概算。</w:t>
      </w:r>
    </w:p>
    <w:p>
      <w:pPr>
        <w:snapToGrid w:val="0"/>
        <w:spacing w:line="560" w:lineRule="exact"/>
        <w:ind w:firstLine="602" w:firstLineChars="200"/>
        <w:rPr>
          <w:rFonts w:ascii="黑体" w:hAnsi="黑体" w:eastAsia="黑体" w:cs="黑体"/>
          <w:b/>
          <w:sz w:val="30"/>
          <w:szCs w:val="30"/>
        </w:rPr>
      </w:pPr>
      <w:r>
        <w:rPr>
          <w:rFonts w:hint="eastAsia" w:ascii="黑体" w:hAnsi="黑体" w:eastAsia="黑体" w:cs="黑体"/>
          <w:b/>
          <w:sz w:val="30"/>
          <w:szCs w:val="30"/>
        </w:rPr>
        <w:t>十六、比赛组织与管理</w:t>
      </w:r>
    </w:p>
    <w:p>
      <w:pPr>
        <w:snapToGrid w:val="0"/>
        <w:spacing w:line="560" w:lineRule="exact"/>
        <w:ind w:firstLine="600" w:firstLineChars="200"/>
        <w:rPr>
          <w:rFonts w:ascii="Arial Narrow" w:hAnsi="Arial Narrow" w:eastAsia="仿宋_GB2312" w:cs="Arial"/>
          <w:sz w:val="30"/>
          <w:szCs w:val="30"/>
        </w:rPr>
      </w:pPr>
      <w:r>
        <w:rPr>
          <w:rFonts w:hint="eastAsia" w:ascii="Arial Narrow" w:hAnsi="Arial Narrow" w:eastAsia="仿宋_GB2312" w:cs="Arial"/>
          <w:sz w:val="30"/>
          <w:szCs w:val="30"/>
        </w:rPr>
        <w:t>按</w:t>
      </w:r>
      <w:r>
        <w:rPr>
          <w:rFonts w:ascii="Arial Narrow" w:hAnsi="Arial Narrow" w:eastAsia="仿宋_GB2312" w:cs="Arial"/>
          <w:sz w:val="30"/>
          <w:szCs w:val="30"/>
        </w:rPr>
        <w:t>照《全国职业院校技能大赛组织机构与职能分工》《全国职业院校技能大赛赛项设备与设施管理办法》《全国职业院校技能大赛赛项监督与仲裁管理办法》等，明确主要组织单位、协办单位的任务分工</w:t>
      </w:r>
      <w:r>
        <w:rPr>
          <w:rFonts w:hint="eastAsia" w:ascii="Arial Narrow" w:hAnsi="Arial Narrow" w:eastAsia="仿宋_GB2312" w:cs="Arial"/>
          <w:sz w:val="30"/>
          <w:szCs w:val="30"/>
        </w:rPr>
        <w:t>和</w:t>
      </w:r>
      <w:r>
        <w:rPr>
          <w:rFonts w:ascii="Arial Narrow" w:hAnsi="Arial Narrow" w:eastAsia="仿宋_GB2312" w:cs="Arial"/>
          <w:sz w:val="30"/>
          <w:szCs w:val="30"/>
        </w:rPr>
        <w:t>各单位工作职责，制定操作性强的赛项竞赛组织与管理方案。</w:t>
      </w:r>
    </w:p>
    <w:p>
      <w:pPr>
        <w:snapToGrid w:val="0"/>
        <w:spacing w:line="560" w:lineRule="exact"/>
        <w:ind w:firstLine="602" w:firstLineChars="200"/>
        <w:rPr>
          <w:rFonts w:ascii="Arial Narrow" w:hAnsi="Arial Narrow" w:eastAsia="仿宋_GB2312" w:cs="Arial"/>
          <w:b/>
          <w:sz w:val="30"/>
          <w:szCs w:val="30"/>
        </w:rPr>
      </w:pPr>
      <w:r>
        <w:rPr>
          <w:rFonts w:hint="eastAsia" w:ascii="黑体" w:hAnsi="黑体" w:eastAsia="黑体" w:cs="黑体"/>
          <w:b/>
          <w:sz w:val="30"/>
          <w:szCs w:val="30"/>
        </w:rPr>
        <w:t>十七、教学资源转化建设方案</w:t>
      </w:r>
    </w:p>
    <w:p>
      <w:pPr>
        <w:snapToGrid w:val="0"/>
        <w:spacing w:line="560" w:lineRule="exact"/>
        <w:ind w:firstLine="600" w:firstLineChars="200"/>
        <w:rPr>
          <w:rFonts w:ascii="Arial Narrow" w:hAnsi="Arial Narrow" w:eastAsia="仿宋_GB2312" w:cs="Arial"/>
          <w:sz w:val="30"/>
          <w:szCs w:val="30"/>
        </w:rPr>
      </w:pPr>
      <w:r>
        <w:rPr>
          <w:rFonts w:hint="eastAsia" w:ascii="Arial Narrow" w:hAnsi="Arial Narrow" w:eastAsia="仿宋_GB2312" w:cs="Arial"/>
          <w:sz w:val="30"/>
          <w:szCs w:val="30"/>
        </w:rPr>
        <w:t>按</w:t>
      </w:r>
      <w:r>
        <w:rPr>
          <w:rFonts w:ascii="Arial Narrow" w:hAnsi="Arial Narrow" w:eastAsia="仿宋_GB2312" w:cs="Arial"/>
          <w:sz w:val="30"/>
          <w:szCs w:val="30"/>
        </w:rPr>
        <w:t>照《全国职业院校技能大赛赛项资源转化工作办法》的有关要求，制定赛项赛后教学资源转化方案。</w:t>
      </w:r>
    </w:p>
    <w:p>
      <w:pPr>
        <w:snapToGrid w:val="0"/>
        <w:spacing w:line="560" w:lineRule="exact"/>
        <w:ind w:firstLine="602" w:firstLineChars="200"/>
        <w:rPr>
          <w:rFonts w:ascii="黑体" w:hAnsi="黑体" w:eastAsia="黑体" w:cs="黑体"/>
          <w:b/>
          <w:sz w:val="30"/>
          <w:szCs w:val="30"/>
        </w:rPr>
      </w:pPr>
      <w:r>
        <w:rPr>
          <w:rFonts w:hint="eastAsia" w:ascii="黑体" w:hAnsi="黑体" w:eastAsia="黑体" w:cs="黑体"/>
          <w:b/>
          <w:sz w:val="30"/>
          <w:szCs w:val="30"/>
        </w:rPr>
        <w:t>十八、筹备工作进度时间表</w:t>
      </w:r>
    </w:p>
    <w:p>
      <w:pPr>
        <w:snapToGrid w:val="0"/>
        <w:spacing w:line="560" w:lineRule="exact"/>
        <w:ind w:firstLine="600" w:firstLineChars="200"/>
        <w:rPr>
          <w:rFonts w:ascii="Arial Narrow" w:hAnsi="Arial Narrow" w:eastAsia="仿宋_GB2312" w:cs="Arial"/>
          <w:sz w:val="30"/>
          <w:szCs w:val="30"/>
        </w:rPr>
      </w:pPr>
      <w:r>
        <w:rPr>
          <w:rFonts w:ascii="Arial Narrow" w:hAnsi="Arial Narrow" w:eastAsia="仿宋_GB2312" w:cs="Arial"/>
          <w:sz w:val="30"/>
          <w:szCs w:val="30"/>
        </w:rPr>
        <w:t>依据赛项筹备工作，制定筹备工作时间进度表。</w:t>
      </w:r>
    </w:p>
    <w:p>
      <w:pPr>
        <w:snapToGrid w:val="0"/>
        <w:spacing w:line="560" w:lineRule="exact"/>
        <w:ind w:firstLine="602" w:firstLineChars="200"/>
        <w:rPr>
          <w:rFonts w:ascii="黑体" w:hAnsi="黑体" w:eastAsia="黑体" w:cs="黑体"/>
          <w:b/>
          <w:sz w:val="30"/>
          <w:szCs w:val="30"/>
        </w:rPr>
      </w:pPr>
      <w:r>
        <w:rPr>
          <w:rFonts w:hint="eastAsia" w:ascii="黑体" w:hAnsi="黑体" w:eastAsia="黑体" w:cs="黑体"/>
          <w:b/>
          <w:sz w:val="30"/>
          <w:szCs w:val="30"/>
        </w:rPr>
        <w:t>十九、裁判人员建议</w:t>
      </w:r>
    </w:p>
    <w:p>
      <w:pPr>
        <w:snapToGrid w:val="0"/>
        <w:spacing w:line="560" w:lineRule="exact"/>
        <w:ind w:firstLine="600" w:firstLineChars="200"/>
        <w:rPr>
          <w:rFonts w:ascii="Arial Narrow" w:hAnsi="Arial Narrow" w:eastAsia="仿宋_GB2312" w:cs="Arial"/>
          <w:sz w:val="30"/>
          <w:szCs w:val="30"/>
        </w:rPr>
      </w:pPr>
      <w:r>
        <w:rPr>
          <w:rFonts w:hint="eastAsia" w:ascii="Arial Narrow" w:hAnsi="Arial Narrow" w:eastAsia="仿宋_GB2312" w:cs="Arial"/>
          <w:sz w:val="30"/>
          <w:szCs w:val="30"/>
        </w:rPr>
        <w:t>按</w:t>
      </w:r>
      <w:r>
        <w:rPr>
          <w:rFonts w:ascii="Arial Narrow" w:hAnsi="Arial Narrow" w:eastAsia="仿宋_GB2312" w:cs="Arial"/>
          <w:sz w:val="30"/>
          <w:szCs w:val="30"/>
        </w:rPr>
        <w:t>照《全国职业院校技能大赛专家和裁判工作管理办法》的有关要求，详细列出赛项所需现场裁判和评分裁判的具体要求。</w:t>
      </w:r>
    </w:p>
    <w:tbl>
      <w:tblPr>
        <w:tblStyle w:val="11"/>
        <w:tblpPr w:leftFromText="180" w:rightFromText="180" w:vertAnchor="text" w:horzAnchor="margin" w:tblpXSpec="center" w:tblpY="8"/>
        <w:tblW w:w="8504"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02"/>
        <w:gridCol w:w="1725"/>
        <w:gridCol w:w="1665"/>
        <w:gridCol w:w="1485"/>
        <w:gridCol w:w="2048"/>
        <w:gridCol w:w="77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02" w:type="dxa"/>
            <w:tcBorders>
              <w:top w:val="single" w:color="auto" w:sz="8" w:space="0"/>
            </w:tcBorders>
            <w:vAlign w:val="center"/>
          </w:tcPr>
          <w:p>
            <w:pPr>
              <w:adjustRightInd w:val="0"/>
              <w:snapToGrid w:val="0"/>
              <w:jc w:val="center"/>
              <w:rPr>
                <w:rFonts w:ascii="仿宋_GB2312" w:hAnsi="仿宋" w:eastAsia="仿宋_GB2312" w:cs="Arial"/>
                <w:b/>
                <w:color w:val="000000"/>
                <w:sz w:val="24"/>
                <w:szCs w:val="24"/>
              </w:rPr>
            </w:pPr>
            <w:r>
              <w:rPr>
                <w:rFonts w:ascii="仿宋_GB2312" w:hAnsi="仿宋" w:eastAsia="仿宋_GB2312" w:cs="Arial"/>
                <w:b/>
                <w:color w:val="000000"/>
                <w:sz w:val="24"/>
                <w:szCs w:val="24"/>
              </w:rPr>
              <w:t>序号</w:t>
            </w:r>
          </w:p>
        </w:tc>
        <w:tc>
          <w:tcPr>
            <w:tcW w:w="1725" w:type="dxa"/>
            <w:tcBorders>
              <w:top w:val="single" w:color="auto" w:sz="8" w:space="0"/>
            </w:tcBorders>
            <w:vAlign w:val="center"/>
          </w:tcPr>
          <w:p>
            <w:pPr>
              <w:adjustRightInd w:val="0"/>
              <w:snapToGrid w:val="0"/>
              <w:jc w:val="center"/>
              <w:rPr>
                <w:rFonts w:ascii="仿宋_GB2312" w:hAnsi="仿宋" w:eastAsia="仿宋_GB2312" w:cs="Arial"/>
                <w:b/>
                <w:color w:val="000000"/>
                <w:sz w:val="24"/>
                <w:szCs w:val="24"/>
              </w:rPr>
            </w:pPr>
            <w:r>
              <w:rPr>
                <w:rFonts w:ascii="仿宋_GB2312" w:hAnsi="仿宋" w:eastAsia="仿宋_GB2312" w:cs="Arial"/>
                <w:b/>
                <w:color w:val="000000"/>
                <w:sz w:val="24"/>
                <w:szCs w:val="24"/>
              </w:rPr>
              <w:t>专业技术方向</w:t>
            </w:r>
          </w:p>
        </w:tc>
        <w:tc>
          <w:tcPr>
            <w:tcW w:w="1665" w:type="dxa"/>
            <w:tcBorders>
              <w:top w:val="single" w:color="auto" w:sz="8" w:space="0"/>
            </w:tcBorders>
            <w:vAlign w:val="center"/>
          </w:tcPr>
          <w:p>
            <w:pPr>
              <w:adjustRightInd w:val="0"/>
              <w:snapToGrid w:val="0"/>
              <w:jc w:val="center"/>
              <w:rPr>
                <w:rFonts w:ascii="仿宋_GB2312" w:hAnsi="仿宋" w:eastAsia="仿宋_GB2312" w:cs="Arial"/>
                <w:b/>
                <w:color w:val="000000"/>
                <w:sz w:val="24"/>
                <w:szCs w:val="24"/>
              </w:rPr>
            </w:pPr>
            <w:r>
              <w:rPr>
                <w:rFonts w:ascii="仿宋_GB2312" w:hAnsi="仿宋" w:eastAsia="仿宋_GB2312" w:cs="Arial"/>
                <w:b/>
                <w:color w:val="000000"/>
                <w:sz w:val="24"/>
                <w:szCs w:val="24"/>
              </w:rPr>
              <w:t>知识能力要求</w:t>
            </w:r>
          </w:p>
        </w:tc>
        <w:tc>
          <w:tcPr>
            <w:tcW w:w="1485" w:type="dxa"/>
            <w:tcBorders>
              <w:top w:val="single" w:color="auto" w:sz="8" w:space="0"/>
            </w:tcBorders>
            <w:vAlign w:val="center"/>
          </w:tcPr>
          <w:p>
            <w:pPr>
              <w:adjustRightInd w:val="0"/>
              <w:snapToGrid w:val="0"/>
              <w:jc w:val="center"/>
              <w:rPr>
                <w:rFonts w:hint="eastAsia" w:ascii="仿宋_GB2312" w:hAnsi="仿宋" w:eastAsia="仿宋_GB2312" w:cs="Arial"/>
                <w:b/>
                <w:color w:val="000000"/>
                <w:sz w:val="24"/>
                <w:szCs w:val="24"/>
                <w:lang w:val="en-US" w:eastAsia="zh-CN"/>
              </w:rPr>
            </w:pPr>
            <w:r>
              <w:rPr>
                <w:rFonts w:hint="eastAsia" w:ascii="仿宋_GB2312" w:hAnsi="仿宋" w:eastAsia="仿宋_GB2312" w:cs="Arial"/>
                <w:b/>
                <w:color w:val="000000"/>
                <w:sz w:val="24"/>
                <w:szCs w:val="24"/>
                <w:lang w:val="en-US" w:eastAsia="zh-CN"/>
              </w:rPr>
              <w:t>执裁、教学、工作经历</w:t>
            </w:r>
          </w:p>
        </w:tc>
        <w:tc>
          <w:tcPr>
            <w:tcW w:w="2048" w:type="dxa"/>
            <w:tcBorders>
              <w:top w:val="single" w:color="auto" w:sz="8" w:space="0"/>
            </w:tcBorders>
            <w:vAlign w:val="center"/>
          </w:tcPr>
          <w:p>
            <w:pPr>
              <w:adjustRightInd w:val="0"/>
              <w:snapToGrid w:val="0"/>
              <w:jc w:val="center"/>
              <w:rPr>
                <w:rFonts w:ascii="仿宋_GB2312" w:hAnsi="仿宋" w:eastAsia="仿宋_GB2312" w:cs="Arial"/>
                <w:b/>
                <w:color w:val="000000"/>
                <w:sz w:val="24"/>
                <w:szCs w:val="24"/>
              </w:rPr>
            </w:pPr>
            <w:r>
              <w:rPr>
                <w:rFonts w:ascii="仿宋_GB2312" w:hAnsi="仿宋" w:eastAsia="仿宋_GB2312" w:cs="Arial"/>
                <w:b/>
                <w:color w:val="000000"/>
                <w:sz w:val="24"/>
                <w:szCs w:val="24"/>
              </w:rPr>
              <w:t>专业技术职称</w:t>
            </w:r>
          </w:p>
          <w:p>
            <w:pPr>
              <w:adjustRightInd w:val="0"/>
              <w:snapToGrid w:val="0"/>
              <w:jc w:val="center"/>
              <w:rPr>
                <w:rFonts w:ascii="仿宋_GB2312" w:hAnsi="仿宋" w:eastAsia="仿宋_GB2312" w:cs="Arial"/>
                <w:b/>
                <w:color w:val="000000"/>
                <w:sz w:val="24"/>
                <w:szCs w:val="24"/>
              </w:rPr>
            </w:pPr>
            <w:r>
              <w:rPr>
                <w:rFonts w:ascii="仿宋_GB2312" w:hAnsi="仿宋" w:eastAsia="仿宋_GB2312" w:cs="Arial"/>
                <w:b/>
                <w:color w:val="000000"/>
                <w:sz w:val="24"/>
                <w:szCs w:val="24"/>
              </w:rPr>
              <w:t>（职业资格等级）</w:t>
            </w:r>
          </w:p>
        </w:tc>
        <w:tc>
          <w:tcPr>
            <w:tcW w:w="779" w:type="dxa"/>
            <w:tcBorders>
              <w:top w:val="single" w:color="auto" w:sz="8" w:space="0"/>
            </w:tcBorders>
            <w:vAlign w:val="center"/>
          </w:tcPr>
          <w:p>
            <w:pPr>
              <w:adjustRightInd w:val="0"/>
              <w:snapToGrid w:val="0"/>
              <w:jc w:val="center"/>
              <w:rPr>
                <w:rFonts w:ascii="仿宋_GB2312" w:hAnsi="仿宋" w:eastAsia="仿宋_GB2312" w:cs="Arial"/>
                <w:b/>
                <w:color w:val="000000"/>
                <w:sz w:val="24"/>
                <w:szCs w:val="24"/>
              </w:rPr>
            </w:pPr>
            <w:r>
              <w:rPr>
                <w:rFonts w:ascii="仿宋_GB2312" w:hAnsi="仿宋" w:eastAsia="仿宋_GB2312" w:cs="Arial"/>
                <w:b/>
                <w:color w:val="000000"/>
                <w:sz w:val="24"/>
                <w:szCs w:val="24"/>
              </w:rPr>
              <w:t>人数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02" w:type="dxa"/>
            <w:vAlign w:val="center"/>
          </w:tcPr>
          <w:p>
            <w:pPr>
              <w:adjustRightInd w:val="0"/>
              <w:snapToGrid w:val="0"/>
              <w:jc w:val="center"/>
              <w:rPr>
                <w:rFonts w:ascii="Arial Narrow" w:hAnsi="Arial Narrow" w:eastAsia="仿宋_GB2312"/>
                <w:sz w:val="24"/>
              </w:rPr>
            </w:pPr>
          </w:p>
        </w:tc>
        <w:tc>
          <w:tcPr>
            <w:tcW w:w="1725" w:type="dxa"/>
            <w:vAlign w:val="center"/>
          </w:tcPr>
          <w:p>
            <w:pPr>
              <w:adjustRightInd w:val="0"/>
              <w:snapToGrid w:val="0"/>
              <w:rPr>
                <w:rFonts w:ascii="Arial Narrow" w:hAnsi="Arial Narrow" w:eastAsia="仿宋_GB2312"/>
                <w:sz w:val="24"/>
              </w:rPr>
            </w:pPr>
          </w:p>
        </w:tc>
        <w:tc>
          <w:tcPr>
            <w:tcW w:w="1665" w:type="dxa"/>
          </w:tcPr>
          <w:p>
            <w:pPr>
              <w:adjustRightInd w:val="0"/>
              <w:snapToGrid w:val="0"/>
              <w:jc w:val="center"/>
              <w:rPr>
                <w:rFonts w:ascii="Arial Narrow" w:hAnsi="Arial Narrow" w:eastAsia="仿宋_GB2312"/>
                <w:sz w:val="24"/>
              </w:rPr>
            </w:pPr>
            <w:bookmarkStart w:id="0" w:name="_GoBack"/>
            <w:bookmarkEnd w:id="0"/>
          </w:p>
        </w:tc>
        <w:tc>
          <w:tcPr>
            <w:tcW w:w="1485" w:type="dxa"/>
            <w:vAlign w:val="center"/>
          </w:tcPr>
          <w:p>
            <w:pPr>
              <w:adjustRightInd w:val="0"/>
              <w:snapToGrid w:val="0"/>
              <w:jc w:val="center"/>
              <w:rPr>
                <w:rFonts w:ascii="Arial Narrow" w:hAnsi="Arial Narrow" w:eastAsia="仿宋_GB2312"/>
                <w:sz w:val="24"/>
              </w:rPr>
            </w:pPr>
          </w:p>
        </w:tc>
        <w:tc>
          <w:tcPr>
            <w:tcW w:w="2048" w:type="dxa"/>
          </w:tcPr>
          <w:p>
            <w:pPr>
              <w:adjustRightInd w:val="0"/>
              <w:snapToGrid w:val="0"/>
              <w:jc w:val="center"/>
              <w:rPr>
                <w:rFonts w:ascii="Arial Narrow" w:hAnsi="Arial Narrow" w:eastAsia="仿宋_GB2312"/>
                <w:sz w:val="24"/>
              </w:rPr>
            </w:pPr>
          </w:p>
        </w:tc>
        <w:tc>
          <w:tcPr>
            <w:tcW w:w="779" w:type="dxa"/>
          </w:tcPr>
          <w:p>
            <w:pPr>
              <w:adjustRightInd w:val="0"/>
              <w:snapToGrid w:val="0"/>
              <w:jc w:val="center"/>
              <w:rPr>
                <w:rFonts w:ascii="Arial Narrow" w:hAnsi="Arial Narrow"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02" w:type="dxa"/>
            <w:vAlign w:val="center"/>
          </w:tcPr>
          <w:p>
            <w:pPr>
              <w:adjustRightInd w:val="0"/>
              <w:snapToGrid w:val="0"/>
              <w:jc w:val="center"/>
              <w:rPr>
                <w:rFonts w:ascii="Arial Narrow" w:hAnsi="Arial Narrow" w:eastAsia="仿宋_GB2312"/>
                <w:sz w:val="24"/>
              </w:rPr>
            </w:pPr>
          </w:p>
        </w:tc>
        <w:tc>
          <w:tcPr>
            <w:tcW w:w="1725" w:type="dxa"/>
            <w:vAlign w:val="center"/>
          </w:tcPr>
          <w:p>
            <w:pPr>
              <w:adjustRightInd w:val="0"/>
              <w:snapToGrid w:val="0"/>
              <w:rPr>
                <w:rFonts w:ascii="Arial Narrow" w:hAnsi="Arial Narrow" w:eastAsia="仿宋_GB2312"/>
                <w:sz w:val="24"/>
              </w:rPr>
            </w:pPr>
          </w:p>
        </w:tc>
        <w:tc>
          <w:tcPr>
            <w:tcW w:w="1665" w:type="dxa"/>
          </w:tcPr>
          <w:p>
            <w:pPr>
              <w:adjustRightInd w:val="0"/>
              <w:snapToGrid w:val="0"/>
              <w:jc w:val="center"/>
              <w:rPr>
                <w:rFonts w:ascii="Arial Narrow" w:hAnsi="Arial Narrow" w:eastAsia="仿宋_GB2312"/>
                <w:sz w:val="24"/>
              </w:rPr>
            </w:pPr>
          </w:p>
        </w:tc>
        <w:tc>
          <w:tcPr>
            <w:tcW w:w="1485" w:type="dxa"/>
            <w:vAlign w:val="center"/>
          </w:tcPr>
          <w:p>
            <w:pPr>
              <w:adjustRightInd w:val="0"/>
              <w:snapToGrid w:val="0"/>
              <w:jc w:val="center"/>
              <w:rPr>
                <w:rFonts w:ascii="Arial Narrow" w:hAnsi="Arial Narrow" w:eastAsia="仿宋_GB2312"/>
                <w:sz w:val="24"/>
              </w:rPr>
            </w:pPr>
          </w:p>
        </w:tc>
        <w:tc>
          <w:tcPr>
            <w:tcW w:w="2048" w:type="dxa"/>
          </w:tcPr>
          <w:p>
            <w:pPr>
              <w:adjustRightInd w:val="0"/>
              <w:snapToGrid w:val="0"/>
              <w:jc w:val="center"/>
              <w:rPr>
                <w:rFonts w:ascii="Arial Narrow" w:hAnsi="Arial Narrow" w:eastAsia="仿宋_GB2312"/>
                <w:sz w:val="24"/>
              </w:rPr>
            </w:pPr>
          </w:p>
        </w:tc>
        <w:tc>
          <w:tcPr>
            <w:tcW w:w="779" w:type="dxa"/>
          </w:tcPr>
          <w:p>
            <w:pPr>
              <w:adjustRightInd w:val="0"/>
              <w:snapToGrid w:val="0"/>
              <w:jc w:val="center"/>
              <w:rPr>
                <w:rFonts w:ascii="Arial Narrow" w:hAnsi="Arial Narrow"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02" w:type="dxa"/>
            <w:vAlign w:val="center"/>
          </w:tcPr>
          <w:p>
            <w:pPr>
              <w:adjustRightInd w:val="0"/>
              <w:snapToGrid w:val="0"/>
              <w:jc w:val="center"/>
              <w:rPr>
                <w:rFonts w:ascii="Arial Narrow" w:hAnsi="Arial Narrow" w:eastAsia="仿宋_GB2312"/>
                <w:sz w:val="24"/>
              </w:rPr>
            </w:pPr>
          </w:p>
        </w:tc>
        <w:tc>
          <w:tcPr>
            <w:tcW w:w="1725" w:type="dxa"/>
            <w:vAlign w:val="center"/>
          </w:tcPr>
          <w:p>
            <w:pPr>
              <w:adjustRightInd w:val="0"/>
              <w:snapToGrid w:val="0"/>
              <w:rPr>
                <w:rFonts w:ascii="Arial Narrow" w:hAnsi="Arial Narrow" w:eastAsia="仿宋_GB2312"/>
                <w:sz w:val="24"/>
              </w:rPr>
            </w:pPr>
          </w:p>
        </w:tc>
        <w:tc>
          <w:tcPr>
            <w:tcW w:w="1665" w:type="dxa"/>
          </w:tcPr>
          <w:p>
            <w:pPr>
              <w:adjustRightInd w:val="0"/>
              <w:snapToGrid w:val="0"/>
              <w:jc w:val="center"/>
              <w:rPr>
                <w:rFonts w:ascii="Arial Narrow" w:hAnsi="Arial Narrow" w:eastAsia="仿宋_GB2312"/>
                <w:sz w:val="24"/>
              </w:rPr>
            </w:pPr>
          </w:p>
        </w:tc>
        <w:tc>
          <w:tcPr>
            <w:tcW w:w="1485" w:type="dxa"/>
            <w:vAlign w:val="center"/>
          </w:tcPr>
          <w:p>
            <w:pPr>
              <w:adjustRightInd w:val="0"/>
              <w:snapToGrid w:val="0"/>
              <w:jc w:val="center"/>
              <w:rPr>
                <w:rFonts w:ascii="Arial Narrow" w:hAnsi="Arial Narrow" w:eastAsia="仿宋_GB2312"/>
                <w:sz w:val="24"/>
              </w:rPr>
            </w:pPr>
          </w:p>
        </w:tc>
        <w:tc>
          <w:tcPr>
            <w:tcW w:w="2048" w:type="dxa"/>
          </w:tcPr>
          <w:p>
            <w:pPr>
              <w:adjustRightInd w:val="0"/>
              <w:snapToGrid w:val="0"/>
              <w:jc w:val="center"/>
              <w:rPr>
                <w:rFonts w:ascii="Arial Narrow" w:hAnsi="Arial Narrow" w:eastAsia="仿宋_GB2312"/>
                <w:sz w:val="24"/>
              </w:rPr>
            </w:pPr>
          </w:p>
        </w:tc>
        <w:tc>
          <w:tcPr>
            <w:tcW w:w="779" w:type="dxa"/>
          </w:tcPr>
          <w:p>
            <w:pPr>
              <w:adjustRightInd w:val="0"/>
              <w:snapToGrid w:val="0"/>
              <w:jc w:val="center"/>
              <w:rPr>
                <w:rFonts w:ascii="Arial Narrow" w:hAnsi="Arial Narrow"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02" w:type="dxa"/>
            <w:tcBorders>
              <w:bottom w:val="single" w:color="auto" w:sz="8" w:space="0"/>
            </w:tcBorders>
            <w:vAlign w:val="center"/>
          </w:tcPr>
          <w:p>
            <w:pPr>
              <w:adjustRightInd w:val="0"/>
              <w:snapToGrid w:val="0"/>
              <w:jc w:val="center"/>
              <w:rPr>
                <w:rFonts w:ascii="Arial Narrow" w:hAnsi="Arial Narrow" w:eastAsia="仿宋_GB2312"/>
                <w:sz w:val="24"/>
              </w:rPr>
            </w:pPr>
            <w:r>
              <w:rPr>
                <w:rFonts w:ascii="仿宋_GB2312" w:hAnsi="仿宋" w:eastAsia="仿宋_GB2312" w:cs="Arial"/>
                <w:b/>
                <w:color w:val="000000"/>
                <w:sz w:val="24"/>
                <w:szCs w:val="24"/>
              </w:rPr>
              <w:t>裁判总人数</w:t>
            </w:r>
          </w:p>
        </w:tc>
        <w:tc>
          <w:tcPr>
            <w:tcW w:w="7702" w:type="dxa"/>
            <w:gridSpan w:val="5"/>
            <w:tcBorders>
              <w:bottom w:val="single" w:color="auto" w:sz="8" w:space="0"/>
            </w:tcBorders>
          </w:tcPr>
          <w:p>
            <w:pPr>
              <w:adjustRightInd w:val="0"/>
              <w:snapToGrid w:val="0"/>
              <w:jc w:val="center"/>
              <w:rPr>
                <w:rFonts w:ascii="Arial Narrow" w:hAnsi="Arial Narrow" w:eastAsia="仿宋_GB2312"/>
                <w:sz w:val="24"/>
              </w:rPr>
            </w:pPr>
          </w:p>
        </w:tc>
      </w:tr>
    </w:tbl>
    <w:p>
      <w:pPr>
        <w:snapToGrid w:val="0"/>
        <w:spacing w:line="560" w:lineRule="exact"/>
        <w:ind w:firstLine="602" w:firstLineChars="200"/>
        <w:rPr>
          <w:rFonts w:ascii="Arial Narrow" w:hAnsi="Arial Narrow" w:eastAsia="仿宋_GB2312" w:cs="Arial"/>
          <w:b/>
          <w:sz w:val="30"/>
          <w:szCs w:val="30"/>
        </w:rPr>
      </w:pPr>
      <w:r>
        <w:rPr>
          <w:rFonts w:hint="eastAsia" w:ascii="黑体" w:hAnsi="黑体" w:eastAsia="黑体" w:cs="黑体"/>
          <w:b/>
          <w:sz w:val="30"/>
          <w:szCs w:val="30"/>
        </w:rPr>
        <w:t>二十、其他</w:t>
      </w:r>
    </w:p>
    <w:p>
      <w:pPr>
        <w:snapToGrid w:val="0"/>
        <w:spacing w:line="560" w:lineRule="exact"/>
        <w:ind w:firstLine="600" w:firstLineChars="200"/>
        <w:rPr>
          <w:rFonts w:ascii="Arial Narrow" w:hAnsi="Arial Narrow" w:eastAsia="仿宋_GB2312" w:cs="Arial"/>
          <w:sz w:val="30"/>
          <w:szCs w:val="30"/>
        </w:rPr>
      </w:pPr>
      <w:r>
        <w:rPr>
          <w:rFonts w:ascii="Arial Narrow" w:hAnsi="Arial Narrow" w:eastAsia="仿宋_GB2312" w:cs="Arial"/>
          <w:sz w:val="30"/>
          <w:szCs w:val="30"/>
        </w:rPr>
        <w:t>申报赛项未尽内容的描述或说明，也可附页补充。</w:t>
      </w:r>
    </w:p>
    <w:p>
      <w:pPr>
        <w:spacing w:line="560" w:lineRule="exact"/>
        <w:ind w:firstLine="600" w:firstLineChars="200"/>
      </w:pPr>
      <w:r>
        <w:rPr>
          <w:rFonts w:ascii="Arial Narrow" w:hAnsi="Arial Narrow" w:eastAsia="仿宋_GB2312" w:cs="Arial"/>
          <w:sz w:val="30"/>
          <w:szCs w:val="30"/>
        </w:rPr>
        <w:t>申报单位应明确专职联络人员及其手机号码、邮箱等联系方式。专职联络人员应具有强烈的工作责任感和良好的保密意识。</w:t>
      </w: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Narrow">
    <w:altName w:val="Arial"/>
    <w:panose1 w:val="020B0606020202030204"/>
    <w:charset w:val="00"/>
    <w:family w:val="swiss"/>
    <w:pitch w:val="default"/>
    <w:sig w:usb0="00000000" w:usb1="00000000" w:usb2="00000000" w:usb3="00000000" w:csb0="000000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7"/>
        <w:rPr>
          <w:rFonts w:ascii="仿宋_GB2312" w:eastAsia="仿宋_GB2312"/>
          <w:sz w:val="22"/>
          <w:szCs w:val="22"/>
        </w:rPr>
      </w:pPr>
      <w:r>
        <w:rPr>
          <w:rFonts w:ascii="仿宋_GB2312" w:eastAsia="仿宋_GB2312"/>
          <w:sz w:val="22"/>
          <w:szCs w:val="22"/>
        </w:rPr>
        <w:t>1</w:t>
      </w:r>
      <w:r>
        <w:rPr>
          <w:rFonts w:hint="eastAsia" w:ascii="仿宋_GB2312" w:eastAsia="仿宋_GB2312"/>
          <w:sz w:val="22"/>
          <w:szCs w:val="22"/>
        </w:rPr>
        <w:t xml:space="preserve"> 页面布局：默认页边距</w:t>
      </w:r>
    </w:p>
    <w:p>
      <w:pPr>
        <w:pStyle w:val="7"/>
        <w:ind w:firstLine="220" w:firstLineChars="100"/>
        <w:rPr>
          <w:rFonts w:ascii="仿宋_GB2312" w:eastAsia="仿宋_GB2312"/>
          <w:sz w:val="22"/>
          <w:szCs w:val="22"/>
        </w:rPr>
      </w:pPr>
      <w:r>
        <w:rPr>
          <w:rFonts w:hint="eastAsia" w:ascii="仿宋_GB2312" w:eastAsia="仿宋_GB2312"/>
          <w:sz w:val="22"/>
          <w:szCs w:val="22"/>
        </w:rPr>
        <w:t>标题：小</w:t>
      </w:r>
      <w:r>
        <w:rPr>
          <w:rFonts w:ascii="仿宋_GB2312" w:eastAsia="仿宋_GB2312"/>
          <w:sz w:val="22"/>
          <w:szCs w:val="22"/>
        </w:rPr>
        <w:t>2</w:t>
      </w:r>
      <w:r>
        <w:rPr>
          <w:rFonts w:hint="eastAsia" w:ascii="仿宋_GB2312" w:eastAsia="仿宋_GB2312"/>
          <w:sz w:val="22"/>
          <w:szCs w:val="22"/>
        </w:rPr>
        <w:t>号，黑体加粗</w:t>
      </w:r>
    </w:p>
    <w:p>
      <w:pPr>
        <w:pStyle w:val="7"/>
        <w:ind w:left="210" w:leftChars="100"/>
        <w:rPr>
          <w:rFonts w:ascii="仿宋_GB2312" w:eastAsia="仿宋_GB2312"/>
          <w:sz w:val="22"/>
          <w:szCs w:val="22"/>
        </w:rPr>
      </w:pPr>
      <w:r>
        <w:rPr>
          <w:rFonts w:hint="eastAsia" w:ascii="仿宋_GB2312" w:eastAsia="仿宋_GB2312"/>
          <w:sz w:val="22"/>
          <w:szCs w:val="22"/>
        </w:rPr>
        <w:t>正文：小</w:t>
      </w:r>
      <w:r>
        <w:rPr>
          <w:rFonts w:ascii="仿宋_GB2312" w:eastAsia="仿宋_GB2312"/>
          <w:sz w:val="22"/>
          <w:szCs w:val="22"/>
        </w:rPr>
        <w:t>3</w:t>
      </w:r>
      <w:r>
        <w:rPr>
          <w:rFonts w:hint="eastAsia" w:ascii="仿宋_GB2312" w:eastAsia="仿宋_GB2312"/>
          <w:sz w:val="22"/>
          <w:szCs w:val="22"/>
        </w:rPr>
        <w:t>号，仿宋</w:t>
      </w:r>
      <w:r>
        <w:rPr>
          <w:rFonts w:ascii="仿宋_GB2312" w:eastAsia="仿宋_GB2312"/>
          <w:sz w:val="22"/>
          <w:szCs w:val="22"/>
        </w:rPr>
        <w:t>_GB2312</w:t>
      </w:r>
      <w:r>
        <w:rPr>
          <w:rFonts w:hint="eastAsia" w:ascii="仿宋_GB2312" w:eastAsia="仿宋_GB2312"/>
          <w:sz w:val="22"/>
          <w:szCs w:val="22"/>
        </w:rPr>
        <w:t>，</w:t>
      </w:r>
      <w:r>
        <w:rPr>
          <w:rFonts w:ascii="仿宋_GB2312" w:eastAsia="仿宋_GB2312"/>
          <w:sz w:val="22"/>
          <w:szCs w:val="22"/>
        </w:rPr>
        <w:t>28</w:t>
      </w:r>
      <w:r>
        <w:rPr>
          <w:rFonts w:hint="eastAsia" w:ascii="仿宋_GB2312" w:eastAsia="仿宋_GB2312"/>
          <w:sz w:val="22"/>
          <w:szCs w:val="22"/>
        </w:rPr>
        <w:t>磅行间距。结构次序数依次用“一、”“（一）”“</w:t>
      </w:r>
      <w:r>
        <w:rPr>
          <w:rFonts w:ascii="仿宋_GB2312" w:eastAsia="仿宋_GB2312"/>
          <w:sz w:val="22"/>
          <w:szCs w:val="22"/>
        </w:rPr>
        <w:t>1.</w:t>
      </w:r>
      <w:r>
        <w:rPr>
          <w:rFonts w:hint="eastAsia" w:ascii="仿宋_GB2312" w:eastAsia="仿宋_GB2312"/>
          <w:sz w:val="22"/>
          <w:szCs w:val="22"/>
        </w:rPr>
        <w:t>”“（</w:t>
      </w:r>
      <w:r>
        <w:rPr>
          <w:rFonts w:ascii="仿宋_GB2312" w:eastAsia="仿宋_GB2312"/>
          <w:sz w:val="22"/>
          <w:szCs w:val="22"/>
        </w:rPr>
        <w:t>1</w:t>
      </w:r>
      <w:r>
        <w:rPr>
          <w:rFonts w:hint="eastAsia" w:ascii="仿宋_GB2312" w:eastAsia="仿宋_GB2312"/>
          <w:sz w:val="22"/>
          <w:szCs w:val="22"/>
        </w:rPr>
        <w:t>）”“①”。</w:t>
      </w:r>
    </w:p>
    <w:p>
      <w:pPr>
        <w:pStyle w:val="7"/>
        <w:ind w:firstLine="220" w:firstLineChars="100"/>
        <w:rPr>
          <w:rFonts w:ascii="仿宋_GB2312" w:eastAsia="仿宋_GB2312"/>
          <w:sz w:val="22"/>
          <w:szCs w:val="22"/>
        </w:rPr>
      </w:pPr>
      <w:r>
        <w:rPr>
          <w:rFonts w:hint="eastAsia" w:ascii="仿宋_GB2312" w:eastAsia="仿宋_GB2312"/>
          <w:sz w:val="22"/>
          <w:szCs w:val="22"/>
        </w:rPr>
        <w:t>文中表格：小</w:t>
      </w:r>
      <w:r>
        <w:rPr>
          <w:rFonts w:ascii="仿宋_GB2312" w:eastAsia="仿宋_GB2312"/>
          <w:sz w:val="22"/>
          <w:szCs w:val="22"/>
        </w:rPr>
        <w:t>4</w:t>
      </w:r>
      <w:r>
        <w:rPr>
          <w:rFonts w:hint="eastAsia" w:ascii="仿宋_GB2312" w:eastAsia="仿宋_GB2312"/>
          <w:sz w:val="22"/>
          <w:szCs w:val="22"/>
        </w:rPr>
        <w:t>号宋体，单倍行间距。表头字体小</w:t>
      </w:r>
      <w:r>
        <w:rPr>
          <w:rFonts w:ascii="仿宋_GB2312" w:eastAsia="仿宋_GB2312"/>
          <w:sz w:val="22"/>
          <w:szCs w:val="22"/>
        </w:rPr>
        <w:t>4</w:t>
      </w:r>
      <w:r>
        <w:rPr>
          <w:rFonts w:hint="eastAsia" w:ascii="仿宋_GB2312" w:eastAsia="仿宋_GB2312"/>
          <w:sz w:val="22"/>
          <w:szCs w:val="22"/>
        </w:rPr>
        <w:t>号宋体加粗。</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E0F22"/>
    <w:rsid w:val="004E0F22"/>
    <w:rsid w:val="00B650C3"/>
    <w:rsid w:val="00C23559"/>
    <w:rsid w:val="10907F32"/>
    <w:rsid w:val="15405F2B"/>
    <w:rsid w:val="28627691"/>
    <w:rsid w:val="4E011963"/>
    <w:rsid w:val="51DB12F6"/>
    <w:rsid w:val="5E4A6A02"/>
    <w:rsid w:val="5F9C1C10"/>
    <w:rsid w:val="62411A37"/>
    <w:rsid w:val="62860A3B"/>
    <w:rsid w:val="72591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3"/>
    <w:uiPriority w:val="0"/>
    <w:rPr>
      <w:b/>
      <w:bCs/>
    </w:rPr>
  </w:style>
  <w:style w:type="paragraph" w:styleId="3">
    <w:name w:val="annotation text"/>
    <w:basedOn w:val="1"/>
    <w:link w:val="12"/>
    <w:uiPriority w:val="0"/>
    <w:pPr>
      <w:jc w:val="left"/>
    </w:pPr>
  </w:style>
  <w:style w:type="paragraph" w:styleId="4">
    <w:name w:val="Balloon Text"/>
    <w:basedOn w:val="1"/>
    <w:link w:val="14"/>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footnote text"/>
    <w:basedOn w:val="1"/>
    <w:qFormat/>
    <w:uiPriority w:val="0"/>
    <w:pPr>
      <w:snapToGrid w:val="0"/>
      <w:jc w:val="left"/>
    </w:pPr>
    <w:rPr>
      <w:kern w:val="0"/>
      <w:sz w:val="18"/>
      <w:szCs w:val="18"/>
    </w:rPr>
  </w:style>
  <w:style w:type="character" w:styleId="9">
    <w:name w:val="annotation reference"/>
    <w:basedOn w:val="8"/>
    <w:uiPriority w:val="0"/>
    <w:rPr>
      <w:sz w:val="21"/>
      <w:szCs w:val="21"/>
    </w:rPr>
  </w:style>
  <w:style w:type="character" w:styleId="10">
    <w:name w:val="footnote reference"/>
    <w:uiPriority w:val="0"/>
    <w:rPr>
      <w:rFonts w:cs="Times New Roman"/>
      <w:vertAlign w:val="superscript"/>
    </w:rPr>
  </w:style>
  <w:style w:type="character" w:customStyle="1" w:styleId="12">
    <w:name w:val="批注文字 Char"/>
    <w:basedOn w:val="8"/>
    <w:link w:val="3"/>
    <w:uiPriority w:val="0"/>
    <w:rPr>
      <w:kern w:val="2"/>
      <w:sz w:val="21"/>
      <w:szCs w:val="22"/>
    </w:rPr>
  </w:style>
  <w:style w:type="character" w:customStyle="1" w:styleId="13">
    <w:name w:val="批注主题 Char"/>
    <w:basedOn w:val="12"/>
    <w:link w:val="2"/>
    <w:qFormat/>
    <w:uiPriority w:val="0"/>
    <w:rPr>
      <w:b/>
      <w:bCs/>
    </w:rPr>
  </w:style>
  <w:style w:type="character" w:customStyle="1" w:styleId="14">
    <w:name w:val="批注框文本 Char"/>
    <w:basedOn w:val="8"/>
    <w:link w:val="4"/>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284</Words>
  <Characters>1619</Characters>
  <Lines>13</Lines>
  <Paragraphs>3</Paragraphs>
  <TotalTime>0</TotalTime>
  <ScaleCrop>false</ScaleCrop>
  <LinksUpToDate>false</LinksUpToDate>
  <CharactersWithSpaces>1900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1</cp:lastModifiedBy>
  <dcterms:modified xsi:type="dcterms:W3CDTF">2017-08-08T03:24:43Z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